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36F8EB04" w:rsidR="00A50777" w:rsidRPr="009F29FB" w:rsidRDefault="00A50777" w:rsidP="00A50777">
      <w:pPr>
        <w:pStyle w:val="a5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>
        <w:rPr>
          <w:rFonts w:cs="Arial"/>
          <w:bCs/>
          <w:noProof w:val="0"/>
          <w:sz w:val="24"/>
          <w:szCs w:val="24"/>
          <w:lang w:val="en-GB"/>
        </w:rPr>
        <w:t>88-Bis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57125F" w:rsidRPr="0057125F">
        <w:rPr>
          <w:rFonts w:cs="Arial"/>
          <w:noProof w:val="0"/>
          <w:color w:val="000000" w:themeColor="text1"/>
          <w:sz w:val="24"/>
          <w:szCs w:val="24"/>
          <w:lang w:val="en-GB"/>
        </w:rPr>
        <w:t>R4-1812500</w:t>
      </w:r>
    </w:p>
    <w:p w14:paraId="1C4D3D21" w14:textId="065CCD33" w:rsidR="00A50777" w:rsidRPr="009F29FB" w:rsidRDefault="00A50777" w:rsidP="00A50777">
      <w:pPr>
        <w:pStyle w:val="a5"/>
        <w:rPr>
          <w:rFonts w:cs="Arial"/>
          <w:bCs/>
          <w:noProof w:val="0"/>
          <w:color w:val="000000" w:themeColor="text1"/>
          <w:sz w:val="24"/>
          <w:lang w:eastAsia="ja-JP"/>
        </w:rPr>
      </w:pPr>
      <w:r w:rsidRPr="007A60BE">
        <w:rPr>
          <w:rFonts w:eastAsia="新細明體" w:cs="Arial"/>
          <w:sz w:val="24"/>
          <w:lang w:eastAsia="zh-TW"/>
        </w:rPr>
        <w:t>Chengdu, China, 8th- 12</w:t>
      </w:r>
      <w:r w:rsidR="0057125F">
        <w:rPr>
          <w:rFonts w:eastAsia="新細明體" w:cs="Arial"/>
          <w:sz w:val="24"/>
          <w:lang w:eastAsia="zh-TW"/>
        </w:rPr>
        <w:t>th</w:t>
      </w:r>
      <w:r w:rsidRPr="007A60BE">
        <w:rPr>
          <w:rFonts w:eastAsia="新細明體" w:cs="Arial"/>
          <w:sz w:val="24"/>
          <w:lang w:eastAsia="zh-TW"/>
        </w:rPr>
        <w:t xml:space="preserve"> October, 2018</w:t>
      </w:r>
    </w:p>
    <w:p w14:paraId="5A2ED030" w14:textId="77777777" w:rsidR="00A50777" w:rsidRDefault="00A50777" w:rsidP="00A50777">
      <w:pPr>
        <w:pStyle w:val="CRCoverPage"/>
        <w:rPr>
          <w:rFonts w:cs="Arial"/>
          <w:b/>
          <w:bCs/>
          <w:color w:val="000000" w:themeColor="text1"/>
          <w:sz w:val="24"/>
        </w:rPr>
      </w:pPr>
    </w:p>
    <w:p w14:paraId="50F599ED" w14:textId="3AC01BFA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57125F" w:rsidRPr="0057125F">
        <w:rPr>
          <w:rFonts w:cs="Arial"/>
          <w:b/>
          <w:bCs/>
          <w:sz w:val="24"/>
        </w:rPr>
        <w:t>7.11.3.2.2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5FF12D9D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4C076B" w:rsidRPr="004C076B">
        <w:rPr>
          <w:rFonts w:ascii="Arial" w:hAnsi="Arial" w:cs="Arial"/>
          <w:b/>
          <w:bCs/>
          <w:color w:val="000000" w:themeColor="text1"/>
        </w:rPr>
        <w:t>Discussion on dual SMTC periodicit</w:t>
      </w:r>
      <w:r w:rsidR="00445601">
        <w:rPr>
          <w:rFonts w:ascii="Arial" w:hAnsi="Arial" w:cs="Arial"/>
          <w:b/>
          <w:bCs/>
          <w:color w:val="000000" w:themeColor="text1"/>
        </w:rPr>
        <w:t>ies</w:t>
      </w:r>
      <w:r w:rsidR="004C076B">
        <w:rPr>
          <w:rFonts w:ascii="Arial" w:hAnsi="Arial" w:cs="Arial"/>
          <w:b/>
          <w:bCs/>
          <w:color w:val="000000" w:themeColor="text1"/>
        </w:rPr>
        <w:t xml:space="preserve"> </w:t>
      </w:r>
      <w:bookmarkStart w:id="2" w:name="_GoBack"/>
      <w:bookmarkEnd w:id="2"/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E7FBA06" w14:textId="02BEEB5D" w:rsidR="00415949" w:rsidRDefault="008A7465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Theme="minorEastAsia" w:cs="Arial"/>
          <w:sz w:val="22"/>
          <w:lang w:eastAsia="zh-CN"/>
        </w:rPr>
        <w:t>In RAN4 #</w:t>
      </w:r>
      <w:r w:rsidR="00415949">
        <w:rPr>
          <w:rFonts w:eastAsiaTheme="minorEastAsia" w:cs="Arial"/>
          <w:sz w:val="22"/>
          <w:lang w:eastAsia="zh-CN"/>
        </w:rPr>
        <w:t xml:space="preserve">88 </w:t>
      </w:r>
      <w:r>
        <w:rPr>
          <w:rFonts w:eastAsiaTheme="minorEastAsia" w:cs="Arial"/>
          <w:sz w:val="22"/>
          <w:lang w:eastAsia="zh-CN"/>
        </w:rPr>
        <w:t xml:space="preserve">meeting, the </w:t>
      </w:r>
      <w:r w:rsidR="00415949" w:rsidRPr="00415949">
        <w:rPr>
          <w:rFonts w:eastAsiaTheme="minorEastAsia" w:cs="Arial"/>
          <w:sz w:val="22"/>
          <w:lang w:eastAsia="zh-CN"/>
        </w:rPr>
        <w:t>Wayforward</w:t>
      </w:r>
      <w:r w:rsidR="00415949">
        <w:rPr>
          <w:rFonts w:eastAsiaTheme="minorEastAsia" w:cs="Arial"/>
          <w:sz w:val="22"/>
          <w:lang w:eastAsia="zh-CN"/>
        </w:rPr>
        <w:t xml:space="preserve"> discusses the </w:t>
      </w:r>
      <w:r>
        <w:rPr>
          <w:rFonts w:eastAsiaTheme="minorEastAsia" w:cs="Arial"/>
          <w:sz w:val="22"/>
          <w:lang w:eastAsia="zh-CN"/>
        </w:rPr>
        <w:t xml:space="preserve">issue of dual SMTC periodicity is </w:t>
      </w:r>
      <w:r w:rsidR="00415949">
        <w:rPr>
          <w:rFonts w:eastAsiaTheme="minorEastAsia" w:cs="Arial"/>
          <w:sz w:val="22"/>
          <w:lang w:eastAsia="zh-CN"/>
        </w:rPr>
        <w:t>agreed [1]</w:t>
      </w:r>
      <w:r>
        <w:rPr>
          <w:rFonts w:eastAsiaTheme="minorEastAsia" w:cs="Arial"/>
          <w:sz w:val="22"/>
          <w:lang w:eastAsia="zh-CN"/>
        </w:rPr>
        <w:t xml:space="preserve">. </w:t>
      </w:r>
      <w:r w:rsidR="00415949">
        <w:rPr>
          <w:rFonts w:eastAsiaTheme="minorEastAsia" w:cs="Arial"/>
          <w:sz w:val="22"/>
          <w:lang w:eastAsia="zh-CN"/>
        </w:rPr>
        <w:t>The measurement requirements are categorized into two types.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14:paraId="53F97B80" w14:textId="77777777" w:rsidTr="009F72E0">
        <w:trPr>
          <w:jc w:val="center"/>
        </w:trPr>
        <w:tc>
          <w:tcPr>
            <w:tcW w:w="9619" w:type="dxa"/>
          </w:tcPr>
          <w:p w14:paraId="7A4A7C42" w14:textId="77777777" w:rsidR="00415949" w:rsidRPr="00415949" w:rsidRDefault="00415949" w:rsidP="00782BB6">
            <w:pPr>
              <w:spacing w:after="0" w:line="288" w:lineRule="auto"/>
              <w:jc w:val="both"/>
              <w:rPr>
                <w:sz w:val="20"/>
                <w:szCs w:val="20"/>
              </w:rPr>
            </w:pPr>
            <w:r w:rsidRPr="00415949">
              <w:rPr>
                <w:sz w:val="20"/>
                <w:szCs w:val="20"/>
              </w:rPr>
              <w:t>RAN4 to decide in the next meeting on which SMTC periodicity is assumed in a intra-frequency layer in below requirements</w:t>
            </w:r>
          </w:p>
          <w:p w14:paraId="168DFC52" w14:textId="77777777" w:rsidR="00415949" w:rsidRPr="00415949" w:rsidRDefault="00415949" w:rsidP="00415949">
            <w:pPr>
              <w:numPr>
                <w:ilvl w:val="0"/>
                <w:numId w:val="60"/>
              </w:numPr>
              <w:spacing w:after="0" w:line="288" w:lineRule="auto"/>
              <w:jc w:val="both"/>
              <w:rPr>
                <w:sz w:val="20"/>
                <w:szCs w:val="20"/>
              </w:rPr>
            </w:pPr>
            <w:r w:rsidRPr="00415949">
              <w:rPr>
                <w:sz w:val="20"/>
                <w:szCs w:val="20"/>
              </w:rPr>
              <w:t>Category A: Intra-frequency measurement requirements on the frequency layer with dual SMTC periodicities</w:t>
            </w:r>
          </w:p>
          <w:p w14:paraId="6015915B" w14:textId="77777777" w:rsidR="00415949" w:rsidRPr="00415949" w:rsidRDefault="00415949" w:rsidP="00415949">
            <w:pPr>
              <w:numPr>
                <w:ilvl w:val="0"/>
                <w:numId w:val="60"/>
              </w:numPr>
              <w:spacing w:after="0" w:line="288" w:lineRule="auto"/>
              <w:jc w:val="both"/>
              <w:rPr>
                <w:sz w:val="20"/>
                <w:szCs w:val="20"/>
              </w:rPr>
            </w:pPr>
            <w:r w:rsidRPr="00415949">
              <w:rPr>
                <w:sz w:val="20"/>
                <w:szCs w:val="20"/>
              </w:rPr>
              <w:t xml:space="preserve">Category B: Other RRM requirements confirmed that is impacted </w:t>
            </w:r>
          </w:p>
          <w:p w14:paraId="61A6B84E" w14:textId="77777777" w:rsidR="00415949" w:rsidRDefault="00415949" w:rsidP="009F72E0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sz w:val="22"/>
                <w:lang w:val="en-US" w:eastAsia="ja-JP"/>
              </w:rPr>
            </w:pPr>
          </w:p>
        </w:tc>
      </w:tr>
    </w:tbl>
    <w:p w14:paraId="2EEDB291" w14:textId="77777777" w:rsidR="00415949" w:rsidRDefault="00415949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5657FA66" w14:textId="73C548B1" w:rsidR="00242B9F" w:rsidRPr="00D23147" w:rsidRDefault="008E748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 xml:space="preserve">, </w:t>
      </w:r>
      <w:r w:rsidR="00D23147" w:rsidRPr="00D23147">
        <w:rPr>
          <w:rFonts w:eastAsiaTheme="minorEastAsia" w:cs="Arial"/>
          <w:sz w:val="22"/>
          <w:lang w:eastAsia="zh-CN"/>
        </w:rPr>
        <w:t xml:space="preserve">we </w:t>
      </w:r>
      <w:r w:rsidR="00415949">
        <w:rPr>
          <w:rFonts w:eastAsiaTheme="minorEastAsia" w:cs="Arial"/>
          <w:sz w:val="22"/>
          <w:lang w:eastAsia="zh-CN"/>
        </w:rPr>
        <w:t xml:space="preserve">provide our viewpoint on which SMTC periodicity shall be used to defined the requirements of category A and category B. </w:t>
      </w:r>
    </w:p>
    <w:p w14:paraId="082DF8B8" w14:textId="459416A4" w:rsidR="00242B9F" w:rsidRDefault="00242B9F" w:rsidP="00242B9F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D23147" w:rsidRPr="00D23147">
        <w:rPr>
          <w:rFonts w:cs="Arial"/>
          <w:color w:val="000000" w:themeColor="text1"/>
        </w:rPr>
        <w:t xml:space="preserve">Requirements regarding 2 SMTC </w:t>
      </w:r>
      <w:r w:rsidR="00C84C0E" w:rsidRPr="00D23147">
        <w:rPr>
          <w:rFonts w:cs="Arial"/>
          <w:color w:val="000000" w:themeColor="text1"/>
        </w:rPr>
        <w:t>periodicit</w:t>
      </w:r>
      <w:r w:rsidR="00C84C0E">
        <w:rPr>
          <w:rFonts w:cs="Arial"/>
          <w:color w:val="000000" w:themeColor="text1"/>
        </w:rPr>
        <w:t>ies</w:t>
      </w:r>
    </w:p>
    <w:p w14:paraId="75F275C3" w14:textId="5EDEF5D6" w:rsidR="00415949" w:rsidRDefault="00415949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There are 5 options listed in [1]: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14:paraId="32103843" w14:textId="77777777" w:rsidTr="009F72E0">
        <w:trPr>
          <w:jc w:val="center"/>
        </w:trPr>
        <w:tc>
          <w:tcPr>
            <w:tcW w:w="9619" w:type="dxa"/>
          </w:tcPr>
          <w:p w14:paraId="5659AA94" w14:textId="77777777" w:rsidR="005858A6" w:rsidRPr="00415949" w:rsidRDefault="00E5673E" w:rsidP="00782BB6">
            <w:p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 xml:space="preserve">RAN4 to discuss which options will be used to define the requirements: </w:t>
            </w:r>
          </w:p>
          <w:p w14:paraId="48F1E674" w14:textId="77777777" w:rsidR="005858A6" w:rsidRPr="00415949" w:rsidRDefault="00E5673E" w:rsidP="00782BB6">
            <w:pPr>
              <w:numPr>
                <w:ilvl w:val="0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 xml:space="preserve">Option 1: </w:t>
            </w:r>
            <w:r w:rsidRPr="00415949">
              <w:rPr>
                <w:rFonts w:cs="Arial"/>
                <w:lang w:eastAsia="ja-JP"/>
              </w:rPr>
              <w:br/>
              <w:t>Both Category A and Category B assume smtc1</w:t>
            </w:r>
          </w:p>
          <w:p w14:paraId="0322BF32" w14:textId="77777777" w:rsidR="005858A6" w:rsidRPr="00415949" w:rsidRDefault="00E5673E" w:rsidP="00782BB6">
            <w:pPr>
              <w:numPr>
                <w:ilvl w:val="0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 xml:space="preserve">Option 2: </w:t>
            </w:r>
            <w:r w:rsidRPr="00415949">
              <w:rPr>
                <w:rFonts w:cs="Arial"/>
                <w:lang w:eastAsia="ja-JP"/>
              </w:rPr>
              <w:br/>
              <w:t>Both Category A and Category B assume smtc2</w:t>
            </w:r>
          </w:p>
          <w:p w14:paraId="670D867A" w14:textId="77777777" w:rsidR="005858A6" w:rsidRPr="00415949" w:rsidRDefault="00E5673E" w:rsidP="00782BB6">
            <w:pPr>
              <w:numPr>
                <w:ilvl w:val="0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 xml:space="preserve">Option 3: </w:t>
            </w:r>
          </w:p>
          <w:p w14:paraId="0CECE1B2" w14:textId="77777777" w:rsidR="005858A6" w:rsidRPr="00415949" w:rsidRDefault="00E5673E" w:rsidP="00782BB6">
            <w:pPr>
              <w:numPr>
                <w:ilvl w:val="1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Category A always assumes smtc1</w:t>
            </w:r>
          </w:p>
          <w:p w14:paraId="769B284D" w14:textId="77777777" w:rsidR="005858A6" w:rsidRPr="00415949" w:rsidRDefault="00E5673E" w:rsidP="00782BB6">
            <w:pPr>
              <w:numPr>
                <w:ilvl w:val="1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Category B always assumes smtc2</w:t>
            </w:r>
          </w:p>
          <w:p w14:paraId="39660C7B" w14:textId="77777777" w:rsidR="005858A6" w:rsidRPr="00415949" w:rsidRDefault="00E5673E" w:rsidP="00782BB6">
            <w:pPr>
              <w:numPr>
                <w:ilvl w:val="0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 xml:space="preserve">Option 4: </w:t>
            </w:r>
          </w:p>
          <w:p w14:paraId="1AF9A3C7" w14:textId="77777777" w:rsidR="005858A6" w:rsidRPr="00415949" w:rsidRDefault="00E5673E" w:rsidP="00782BB6">
            <w:pPr>
              <w:numPr>
                <w:ilvl w:val="1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Scenario-based rule, e.g., Example shown in the next page</w:t>
            </w:r>
          </w:p>
          <w:p w14:paraId="760CBBA4" w14:textId="77777777" w:rsidR="005858A6" w:rsidRPr="00415949" w:rsidRDefault="00E5673E" w:rsidP="00782BB6">
            <w:pPr>
              <w:numPr>
                <w:ilvl w:val="0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Option 5:</w:t>
            </w:r>
          </w:p>
          <w:p w14:paraId="6187852D" w14:textId="77777777" w:rsidR="005858A6" w:rsidRPr="00415949" w:rsidRDefault="00E5673E" w:rsidP="00782BB6">
            <w:pPr>
              <w:numPr>
                <w:ilvl w:val="1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Category A assumes the configured smtc1 or smtc2 depending on PCI</w:t>
            </w:r>
          </w:p>
          <w:p w14:paraId="29836D98" w14:textId="5C5DD573" w:rsidR="00415949" w:rsidRDefault="00E5673E" w:rsidP="00782BB6">
            <w:pPr>
              <w:numPr>
                <w:ilvl w:val="1"/>
                <w:numId w:val="62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 xml:space="preserve">Category B: FFS </w:t>
            </w:r>
          </w:p>
        </w:tc>
      </w:tr>
    </w:tbl>
    <w:p w14:paraId="6B1A6A01" w14:textId="21607C04" w:rsidR="00415949" w:rsidRDefault="00415949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 w:hint="eastAsia"/>
          <w:b w:val="0"/>
          <w:sz w:val="22"/>
          <w:szCs w:val="22"/>
        </w:rPr>
        <w:lastRenderedPageBreak/>
        <w:t>A</w:t>
      </w:r>
      <w:r>
        <w:rPr>
          <w:rFonts w:ascii="Arial" w:eastAsiaTheme="minorEastAsia" w:hAnsi="Arial" w:cs="Arial"/>
          <w:b w:val="0"/>
          <w:sz w:val="22"/>
          <w:szCs w:val="22"/>
        </w:rPr>
        <w:t>nd the scenario-based rule is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14:paraId="3DA69DAF" w14:textId="77777777" w:rsidTr="009F72E0">
        <w:trPr>
          <w:jc w:val="center"/>
        </w:trPr>
        <w:tc>
          <w:tcPr>
            <w:tcW w:w="9619" w:type="dxa"/>
          </w:tcPr>
          <w:p w14:paraId="6CEA0DF9" w14:textId="77777777" w:rsidR="00415949" w:rsidRPr="00415949" w:rsidRDefault="00415949" w:rsidP="00415949">
            <w:p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Scenario-based rules:</w:t>
            </w:r>
          </w:p>
          <w:p w14:paraId="6A270516" w14:textId="77777777" w:rsidR="005858A6" w:rsidRPr="00415949" w:rsidRDefault="00E5673E" w:rsidP="00415949">
            <w:pPr>
              <w:numPr>
                <w:ilvl w:val="1"/>
                <w:numId w:val="63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Category A always assumes smtc1</w:t>
            </w:r>
          </w:p>
          <w:p w14:paraId="75FB11CD" w14:textId="77777777" w:rsidR="005858A6" w:rsidRPr="00415949" w:rsidRDefault="00E5673E" w:rsidP="00415949">
            <w:pPr>
              <w:numPr>
                <w:ilvl w:val="1"/>
                <w:numId w:val="63"/>
              </w:numPr>
              <w:spacing w:after="0" w:line="288" w:lineRule="auto"/>
              <w:jc w:val="both"/>
              <w:rPr>
                <w:rFonts w:cs="Arial"/>
                <w:lang w:eastAsia="ja-JP"/>
              </w:rPr>
            </w:pPr>
            <w:r w:rsidRPr="00415949">
              <w:rPr>
                <w:rFonts w:cs="Arial"/>
                <w:lang w:eastAsia="ja-JP"/>
              </w:rPr>
              <w:t>SMTC periodicity that Category B assumes based on Table 1</w:t>
            </w:r>
          </w:p>
          <w:p w14:paraId="1E498EA7" w14:textId="77777777" w:rsidR="00415949" w:rsidRDefault="00415949" w:rsidP="00782BB6">
            <w:pPr>
              <w:spacing w:after="0" w:line="288" w:lineRule="auto"/>
              <w:jc w:val="both"/>
              <w:rPr>
                <w:rFonts w:cs="Arial"/>
                <w:lang w:eastAsia="ja-JP"/>
              </w:rPr>
            </w:pPr>
          </w:p>
          <w:p w14:paraId="7BFEC5A6" w14:textId="055FD109" w:rsidR="00415949" w:rsidRPr="00415949" w:rsidRDefault="00415949" w:rsidP="00782BB6">
            <w:pPr>
              <w:spacing w:after="0" w:line="288" w:lineRule="auto"/>
              <w:jc w:val="center"/>
              <w:rPr>
                <w:rFonts w:cs="Arial"/>
                <w:lang w:eastAsia="ja-JP"/>
              </w:rPr>
            </w:pPr>
            <w:r w:rsidRPr="00415949">
              <w:rPr>
                <w:rFonts w:cs="Arial"/>
                <w:b/>
                <w:bCs/>
                <w:lang w:eastAsia="ja-JP"/>
              </w:rPr>
              <w:t>Table 1: SMTC periodicity that Category B assumes based on</w:t>
            </w:r>
            <w:r w:rsidRPr="00415949">
              <w:rPr>
                <w:rFonts w:cs="Arial"/>
                <w:b/>
                <w:bCs/>
                <w:lang w:eastAsia="ja-JP"/>
              </w:rPr>
              <w:br/>
              <w:t xml:space="preserve"> the collision status between SMTC occasions of Category A and MG. </w:t>
            </w:r>
            <w:r w:rsidRPr="00415949">
              <w:rPr>
                <w:rFonts w:cs="Arial"/>
                <w:b/>
                <w:bCs/>
                <w:lang w:eastAsia="ja-JP"/>
              </w:rPr>
              <w:br/>
              <w:t xml:space="preserve">Measurement within MG might include Type A/B/C/D and </w:t>
            </w:r>
            <w:r w:rsidRPr="00415949">
              <w:rPr>
                <w:rFonts w:cs="Arial"/>
                <w:b/>
                <w:bCs/>
                <w:lang w:eastAsia="ja-JP"/>
              </w:rPr>
              <w:br/>
              <w:t>measurement outside MG might include Type A/B.</w:t>
            </w:r>
          </w:p>
          <w:p w14:paraId="06F25A1D" w14:textId="77777777" w:rsidR="00415949" w:rsidRDefault="00415949" w:rsidP="00782BB6">
            <w:pPr>
              <w:spacing w:after="0" w:line="288" w:lineRule="auto"/>
              <w:jc w:val="both"/>
              <w:rPr>
                <w:rFonts w:cs="Arial"/>
                <w:lang w:eastAsia="ja-JP"/>
              </w:rPr>
            </w:pP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644"/>
              <w:gridCol w:w="1309"/>
              <w:gridCol w:w="2362"/>
              <w:gridCol w:w="2701"/>
              <w:gridCol w:w="2357"/>
            </w:tblGrid>
            <w:tr w:rsidR="00415949" w14:paraId="63435D42" w14:textId="77777777" w:rsidTr="009F72E0">
              <w:tc>
                <w:tcPr>
                  <w:tcW w:w="1965" w:type="dxa"/>
                  <w:gridSpan w:val="2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r2bl w:val="single" w:sz="4" w:space="0" w:color="auto"/>
                  </w:tcBorders>
                  <w:vAlign w:val="center"/>
                </w:tcPr>
                <w:p w14:paraId="06FBFA71" w14:textId="77777777" w:rsidR="00415949" w:rsidRDefault="00415949" w:rsidP="00415949">
                  <w:pPr>
                    <w:spacing w:after="0" w:line="24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644" w:type="dxa"/>
                  <w:gridSpan w:val="3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14:paraId="0BC36D43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Smtc2</w:t>
                  </w:r>
                </w:p>
              </w:tc>
            </w:tr>
            <w:tr w:rsidR="00415949" w14:paraId="1BDD4A73" w14:textId="77777777" w:rsidTr="009F72E0">
              <w:tc>
                <w:tcPr>
                  <w:tcW w:w="1965" w:type="dxa"/>
                  <w:gridSpan w:val="2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  <w:tr2bl w:val="single" w:sz="4" w:space="0" w:color="auto"/>
                  </w:tcBorders>
                  <w:vAlign w:val="center"/>
                </w:tcPr>
                <w:p w14:paraId="2A5D967A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3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3629691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Fully overlapped</w:t>
                  </w:r>
                </w:p>
              </w:tc>
              <w:tc>
                <w:tcPr>
                  <w:tcW w:w="2790" w:type="dxa"/>
                  <w:tcBorders>
                    <w:bottom w:val="single" w:sz="12" w:space="0" w:color="auto"/>
                  </w:tcBorders>
                  <w:vAlign w:val="center"/>
                </w:tcPr>
                <w:p w14:paraId="5837271E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Partially overlapped</w:t>
                  </w:r>
                </w:p>
              </w:tc>
              <w:tc>
                <w:tcPr>
                  <w:tcW w:w="2424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6E4A00F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Fully </w:t>
                  </w:r>
                  <w:r>
                    <w:rPr>
                      <w:rFonts w:ascii="Arial" w:hAnsi="Arial" w:cs="Arial"/>
                    </w:rPr>
                    <w:br/>
                    <w:t>non-overlapped</w:t>
                  </w:r>
                </w:p>
              </w:tc>
            </w:tr>
            <w:tr w:rsidR="00415949" w14:paraId="77FBA3D7" w14:textId="77777777" w:rsidTr="009F72E0">
              <w:trPr>
                <w:trHeight w:val="136"/>
              </w:trPr>
              <w:tc>
                <w:tcPr>
                  <w:tcW w:w="656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textDirection w:val="btLr"/>
                  <w:vAlign w:val="center"/>
                </w:tcPr>
                <w:p w14:paraId="137DDFF1" w14:textId="77777777" w:rsidR="00415949" w:rsidRDefault="00415949" w:rsidP="00415949">
                  <w:pPr>
                    <w:spacing w:after="0" w:line="240" w:lineRule="exact"/>
                    <w:ind w:left="113" w:right="113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Smtc1</w:t>
                  </w:r>
                </w:p>
              </w:tc>
              <w:tc>
                <w:tcPr>
                  <w:tcW w:w="1309" w:type="dxa"/>
                  <w:vMerge w:val="restart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F04E2F0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Fully overlapped</w:t>
                  </w:r>
                </w:p>
              </w:tc>
              <w:tc>
                <w:tcPr>
                  <w:tcW w:w="243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982E87A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within MG</w:t>
                  </w:r>
                  <w:r>
                    <w:rPr>
                      <w:rFonts w:ascii="Arial" w:hAnsi="Arial" w:cs="Arial"/>
                    </w:rPr>
                    <w:br/>
                    <w:t>smtc2</w:t>
                  </w:r>
                </w:p>
              </w:tc>
              <w:tc>
                <w:tcPr>
                  <w:tcW w:w="2790" w:type="dxa"/>
                  <w:tcBorders>
                    <w:top w:val="single" w:sz="12" w:space="0" w:color="auto"/>
                  </w:tcBorders>
                  <w:vAlign w:val="center"/>
                </w:tcPr>
                <w:p w14:paraId="0E1D819E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 w:rsidRPr="009F72E0">
                    <w:rPr>
                      <w:rFonts w:ascii="Arial" w:hAnsi="Arial" w:cs="Arial"/>
                      <w:highlight w:val="yellow"/>
                    </w:rPr>
                    <w:t>Meas. within MG</w:t>
                  </w:r>
                  <w:r w:rsidRPr="009F72E0">
                    <w:rPr>
                      <w:rFonts w:ascii="Arial" w:hAnsi="Arial" w:cs="Arial"/>
                      <w:highlight w:val="yellow"/>
                    </w:rPr>
                    <w:br/>
                    <w:t>smtc1</w:t>
                  </w:r>
                </w:p>
              </w:tc>
              <w:tc>
                <w:tcPr>
                  <w:tcW w:w="2424" w:type="dxa"/>
                  <w:vMerge w:val="restart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1D023017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415949" w14:paraId="42523F90" w14:textId="77777777" w:rsidTr="009F72E0">
              <w:trPr>
                <w:trHeight w:val="449"/>
              </w:trPr>
              <w:tc>
                <w:tcPr>
                  <w:tcW w:w="656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0BC965DF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09" w:type="dxa"/>
                  <w:vMerge/>
                  <w:tcBorders>
                    <w:right w:val="single" w:sz="12" w:space="0" w:color="auto"/>
                  </w:tcBorders>
                  <w:vAlign w:val="center"/>
                </w:tcPr>
                <w:p w14:paraId="4855CB97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12" w:space="0" w:color="auto"/>
                  </w:tcBorders>
                  <w:vAlign w:val="center"/>
                </w:tcPr>
                <w:p w14:paraId="1E7046CF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outside MG</w:t>
                  </w:r>
                  <w:r>
                    <w:rPr>
                      <w:rFonts w:ascii="Arial" w:hAnsi="Arial" w:cs="Arial"/>
                    </w:rPr>
                    <w:br/>
                    <w:t>N/A</w:t>
                  </w:r>
                </w:p>
              </w:tc>
              <w:tc>
                <w:tcPr>
                  <w:tcW w:w="2790" w:type="dxa"/>
                  <w:vAlign w:val="center"/>
                </w:tcPr>
                <w:p w14:paraId="54593CB4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outside MG</w:t>
                  </w:r>
                  <w:r>
                    <w:rPr>
                      <w:rFonts w:ascii="Arial" w:hAnsi="Arial" w:cs="Arial"/>
                    </w:rPr>
                    <w:br/>
                    <w:t>smtc2</w:t>
                  </w:r>
                </w:p>
              </w:tc>
              <w:tc>
                <w:tcPr>
                  <w:tcW w:w="2424" w:type="dxa"/>
                  <w:vMerge/>
                  <w:tcBorders>
                    <w:right w:val="single" w:sz="12" w:space="0" w:color="auto"/>
                  </w:tcBorders>
                  <w:vAlign w:val="center"/>
                </w:tcPr>
                <w:p w14:paraId="7E7AA67F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15949" w14:paraId="4A2CB4E1" w14:textId="77777777" w:rsidTr="009F72E0">
              <w:trPr>
                <w:trHeight w:val="220"/>
              </w:trPr>
              <w:tc>
                <w:tcPr>
                  <w:tcW w:w="656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685D4084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09" w:type="dxa"/>
                  <w:vMerge w:val="restart"/>
                  <w:tcBorders>
                    <w:right w:val="single" w:sz="12" w:space="0" w:color="auto"/>
                  </w:tcBorders>
                  <w:vAlign w:val="center"/>
                </w:tcPr>
                <w:p w14:paraId="5C80F38C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Partially overlapped</w:t>
                  </w:r>
                </w:p>
              </w:tc>
              <w:tc>
                <w:tcPr>
                  <w:tcW w:w="2430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5A0C3BC4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N/A</w:t>
                  </w:r>
                </w:p>
              </w:tc>
              <w:tc>
                <w:tcPr>
                  <w:tcW w:w="2790" w:type="dxa"/>
                  <w:vAlign w:val="center"/>
                </w:tcPr>
                <w:p w14:paraId="225DBC5A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within MG</w:t>
                  </w:r>
                  <w:r>
                    <w:rPr>
                      <w:rFonts w:ascii="Arial" w:hAnsi="Arial" w:cs="Arial"/>
                    </w:rPr>
                    <w:br/>
                    <w:t>N/A</w:t>
                  </w:r>
                </w:p>
              </w:tc>
              <w:tc>
                <w:tcPr>
                  <w:tcW w:w="2424" w:type="dxa"/>
                  <w:vMerge w:val="restart"/>
                  <w:tcBorders>
                    <w:right w:val="single" w:sz="12" w:space="0" w:color="auto"/>
                  </w:tcBorders>
                  <w:vAlign w:val="center"/>
                </w:tcPr>
                <w:p w14:paraId="010F7CA0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415949" w14:paraId="3578E23B" w14:textId="77777777" w:rsidTr="009F72E0">
              <w:trPr>
                <w:trHeight w:val="219"/>
              </w:trPr>
              <w:tc>
                <w:tcPr>
                  <w:tcW w:w="656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302402C4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09" w:type="dxa"/>
                  <w:vMerge/>
                  <w:tcBorders>
                    <w:right w:val="single" w:sz="12" w:space="0" w:color="auto"/>
                  </w:tcBorders>
                  <w:vAlign w:val="center"/>
                </w:tcPr>
                <w:p w14:paraId="708AF523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30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1DEB3B0D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790" w:type="dxa"/>
                  <w:vAlign w:val="center"/>
                </w:tcPr>
                <w:p w14:paraId="6445144C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outside MG</w:t>
                  </w:r>
                  <w:r>
                    <w:rPr>
                      <w:rFonts w:ascii="Arial" w:hAnsi="Arial" w:cs="Arial"/>
                    </w:rPr>
                    <w:br/>
                    <w:t>smtc2</w:t>
                  </w:r>
                </w:p>
              </w:tc>
              <w:tc>
                <w:tcPr>
                  <w:tcW w:w="2424" w:type="dxa"/>
                  <w:vMerge/>
                  <w:tcBorders>
                    <w:right w:val="single" w:sz="12" w:space="0" w:color="auto"/>
                  </w:tcBorders>
                  <w:vAlign w:val="center"/>
                </w:tcPr>
                <w:p w14:paraId="492898C0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15949" w14:paraId="2D2BD7C9" w14:textId="77777777" w:rsidTr="009F72E0">
              <w:trPr>
                <w:trHeight w:val="220"/>
              </w:trPr>
              <w:tc>
                <w:tcPr>
                  <w:tcW w:w="656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798BBB29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09" w:type="dxa"/>
                  <w:vMerge w:val="restart"/>
                  <w:tcBorders>
                    <w:right w:val="single" w:sz="12" w:space="0" w:color="auto"/>
                  </w:tcBorders>
                  <w:vAlign w:val="center"/>
                </w:tcPr>
                <w:p w14:paraId="009809E9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Fully non-overlapped</w:t>
                  </w:r>
                </w:p>
              </w:tc>
              <w:tc>
                <w:tcPr>
                  <w:tcW w:w="2430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63C0E644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N/A</w:t>
                  </w:r>
                </w:p>
              </w:tc>
              <w:tc>
                <w:tcPr>
                  <w:tcW w:w="2790" w:type="dxa"/>
                  <w:vAlign w:val="center"/>
                </w:tcPr>
                <w:p w14:paraId="7A4EA880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within MG</w:t>
                  </w:r>
                  <w:r>
                    <w:rPr>
                      <w:rFonts w:ascii="Arial" w:hAnsi="Arial" w:cs="Arial"/>
                    </w:rPr>
                    <w:br/>
                    <w:t>N/A</w:t>
                  </w:r>
                </w:p>
              </w:tc>
              <w:tc>
                <w:tcPr>
                  <w:tcW w:w="2424" w:type="dxa"/>
                  <w:tcBorders>
                    <w:right w:val="single" w:sz="12" w:space="0" w:color="auto"/>
                  </w:tcBorders>
                  <w:vAlign w:val="center"/>
                </w:tcPr>
                <w:p w14:paraId="36A32E16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within MG</w:t>
                  </w:r>
                  <w:r>
                    <w:rPr>
                      <w:rFonts w:ascii="Arial" w:hAnsi="Arial" w:cs="Arial"/>
                    </w:rPr>
                    <w:br/>
                    <w:t>N/A</w:t>
                  </w:r>
                </w:p>
              </w:tc>
            </w:tr>
            <w:tr w:rsidR="00415949" w14:paraId="32FE27D6" w14:textId="77777777" w:rsidTr="009F72E0">
              <w:trPr>
                <w:trHeight w:val="219"/>
              </w:trPr>
              <w:tc>
                <w:tcPr>
                  <w:tcW w:w="656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0602130A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09" w:type="dxa"/>
                  <w:vMerge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8A11205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30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763D03CF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790" w:type="dxa"/>
                  <w:tcBorders>
                    <w:bottom w:val="single" w:sz="12" w:space="0" w:color="auto"/>
                  </w:tcBorders>
                  <w:vAlign w:val="center"/>
                </w:tcPr>
                <w:p w14:paraId="1DC80CAB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outside MG</w:t>
                  </w:r>
                  <w:r>
                    <w:rPr>
                      <w:rFonts w:ascii="Arial" w:hAnsi="Arial" w:cs="Arial"/>
                    </w:rPr>
                    <w:br/>
                    <w:t>smtc2</w:t>
                  </w:r>
                </w:p>
              </w:tc>
              <w:tc>
                <w:tcPr>
                  <w:tcW w:w="2424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E9AC82D" w14:textId="77777777" w:rsidR="00415949" w:rsidRDefault="00415949" w:rsidP="00415949">
                  <w:pPr>
                    <w:spacing w:after="0" w:line="24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Meas. outside MG</w:t>
                  </w:r>
                  <w:r>
                    <w:rPr>
                      <w:rFonts w:ascii="Arial" w:hAnsi="Arial" w:cs="Arial"/>
                    </w:rPr>
                    <w:br/>
                    <w:t>smtc2</w:t>
                  </w:r>
                </w:p>
              </w:tc>
            </w:tr>
          </w:tbl>
          <w:p w14:paraId="1A77BBEA" w14:textId="77777777" w:rsidR="00415949" w:rsidRDefault="00415949" w:rsidP="00782BB6">
            <w:pPr>
              <w:spacing w:after="0" w:line="288" w:lineRule="auto"/>
              <w:jc w:val="both"/>
              <w:rPr>
                <w:rFonts w:cs="Arial"/>
                <w:lang w:eastAsia="ja-JP"/>
              </w:rPr>
            </w:pPr>
          </w:p>
          <w:p w14:paraId="14F95E62" w14:textId="7BEC2A90" w:rsidR="00415949" w:rsidRDefault="00415949" w:rsidP="00782BB6">
            <w:pPr>
              <w:spacing w:after="0" w:line="288" w:lineRule="auto"/>
              <w:jc w:val="both"/>
              <w:rPr>
                <w:rFonts w:cs="Arial"/>
                <w:lang w:eastAsia="ja-JP"/>
              </w:rPr>
            </w:pPr>
          </w:p>
        </w:tc>
      </w:tr>
    </w:tbl>
    <w:p w14:paraId="6F618725" w14:textId="77777777" w:rsidR="00415949" w:rsidRDefault="00415949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505D44AB" w14:textId="39A5FC46" w:rsidR="0057125F" w:rsidRDefault="0057125F" w:rsidP="0057125F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Considering that the definition of category B is not precise, we would like to further divide the requirements of category B into 2 types:</w:t>
      </w:r>
    </w:p>
    <w:p w14:paraId="5F1CE1B3" w14:textId="0AE2485A" w:rsidR="0057125F" w:rsidRPr="0001010A" w:rsidRDefault="0057125F" w:rsidP="0057125F">
      <w:pPr>
        <w:numPr>
          <w:ilvl w:val="0"/>
          <w:numId w:val="60"/>
        </w:numPr>
        <w:spacing w:after="0" w:line="288" w:lineRule="auto"/>
        <w:jc w:val="both"/>
        <w:rPr>
          <w:rFonts w:ascii="Arial" w:hAnsi="Arial" w:cs="Arial"/>
        </w:rPr>
      </w:pPr>
      <w:r w:rsidRPr="0001010A">
        <w:rPr>
          <w:rFonts w:ascii="Arial" w:hAnsi="Arial" w:cs="Arial"/>
        </w:rPr>
        <w:t xml:space="preserve">Category B1: Other L3 </w:t>
      </w:r>
      <w:r w:rsidR="009A55BE">
        <w:rPr>
          <w:rFonts w:ascii="Arial" w:hAnsi="Arial" w:cs="Arial"/>
        </w:rPr>
        <w:t xml:space="preserve">mobility </w:t>
      </w:r>
      <w:r w:rsidRPr="0001010A">
        <w:rPr>
          <w:rFonts w:ascii="Arial" w:hAnsi="Arial" w:cs="Arial"/>
        </w:rPr>
        <w:t>measurement requirements are impacted, e.g., the requirements in Section 9.2.5.1, Section 9.2.5.2, Section 9.2.6.</w:t>
      </w:r>
      <w:r w:rsidR="0001010A">
        <w:rPr>
          <w:rFonts w:ascii="Arial" w:hAnsi="Arial" w:cs="Arial"/>
        </w:rPr>
        <w:t>2</w:t>
      </w:r>
      <w:r w:rsidRPr="0001010A">
        <w:rPr>
          <w:rFonts w:ascii="Arial" w:hAnsi="Arial" w:cs="Arial"/>
        </w:rPr>
        <w:t>, Section 9.2.6.3, Section 9.3.4, and Section 9.3.5. The calculation of carrier-specific scaling factors is needed to define the requirements of this category.</w:t>
      </w:r>
    </w:p>
    <w:p w14:paraId="03477898" w14:textId="03C17A23" w:rsidR="0057125F" w:rsidRPr="0001010A" w:rsidRDefault="0057125F" w:rsidP="0057125F">
      <w:pPr>
        <w:pStyle w:val="af7"/>
        <w:numPr>
          <w:ilvl w:val="0"/>
          <w:numId w:val="60"/>
        </w:numPr>
        <w:rPr>
          <w:rFonts w:ascii="Arial" w:hAnsi="Arial" w:cs="Arial"/>
        </w:rPr>
      </w:pPr>
      <w:r w:rsidRPr="0001010A">
        <w:rPr>
          <w:rFonts w:ascii="Arial" w:hAnsi="Arial" w:cs="Arial"/>
        </w:rPr>
        <w:t xml:space="preserve">Category B2: Other RRM requirements that </w:t>
      </w:r>
      <w:r w:rsidR="003C7848">
        <w:rPr>
          <w:rFonts w:ascii="Arial" w:hAnsi="Arial" w:cs="Arial"/>
        </w:rPr>
        <w:t>are</w:t>
      </w:r>
      <w:r w:rsidRPr="0001010A">
        <w:rPr>
          <w:rFonts w:ascii="Arial" w:hAnsi="Arial" w:cs="Arial"/>
        </w:rPr>
        <w:t xml:space="preserve"> impacted, e.g., the</w:t>
      </w:r>
      <w:r w:rsidR="0001010A">
        <w:rPr>
          <w:rFonts w:ascii="Arial" w:hAnsi="Arial" w:cs="Arial"/>
        </w:rPr>
        <w:t xml:space="preserve"> RLM</w:t>
      </w:r>
      <w:r w:rsidRPr="0001010A">
        <w:rPr>
          <w:rFonts w:ascii="Arial" w:hAnsi="Arial" w:cs="Arial"/>
        </w:rPr>
        <w:t xml:space="preserve"> requirements in Section 8.1 and the restriction in Section 9.2.5.3. The requirements of this category are irrelevant to the carrier-specific scaling factor.</w:t>
      </w:r>
    </w:p>
    <w:p w14:paraId="4665F463" w14:textId="77777777" w:rsidR="0057125F" w:rsidRDefault="0057125F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2268C505" w14:textId="59BBFC5B" w:rsidR="0057125F" w:rsidRPr="0001010A" w:rsidRDefault="0057125F" w:rsidP="0057125F">
      <w:pPr>
        <w:rPr>
          <w:rFonts w:ascii="Arial" w:hAnsi="Arial" w:cs="Arial"/>
        </w:rPr>
      </w:pPr>
      <w:r>
        <w:rPr>
          <w:rFonts w:ascii="Arial" w:hAnsi="Arial" w:cs="Arial"/>
        </w:rPr>
        <w:t>It is easy to handle the r</w:t>
      </w:r>
      <w:r w:rsidRPr="0001010A">
        <w:rPr>
          <w:rFonts w:ascii="Arial" w:hAnsi="Arial" w:cs="Arial"/>
        </w:rPr>
        <w:t xml:space="preserve">equirement of </w:t>
      </w:r>
      <w:r>
        <w:rPr>
          <w:rFonts w:ascii="Arial" w:hAnsi="Arial" w:cs="Arial"/>
        </w:rPr>
        <w:t>c</w:t>
      </w:r>
      <w:r w:rsidRPr="0001010A">
        <w:rPr>
          <w:rFonts w:ascii="Arial" w:hAnsi="Arial" w:cs="Arial"/>
        </w:rPr>
        <w:t>ategory B2</w:t>
      </w:r>
      <w:r>
        <w:rPr>
          <w:rFonts w:ascii="Arial" w:hAnsi="Arial" w:cs="Arial"/>
        </w:rPr>
        <w:t xml:space="preserve"> by following the principle used in scheduling availability and RLM requirements.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57125F" w14:paraId="18735772" w14:textId="77777777" w:rsidTr="00FA3ACA">
        <w:trPr>
          <w:jc w:val="center"/>
        </w:trPr>
        <w:tc>
          <w:tcPr>
            <w:tcW w:w="9619" w:type="dxa"/>
          </w:tcPr>
          <w:p w14:paraId="661A426E" w14:textId="25611054" w:rsidR="0057125F" w:rsidRDefault="0057125F" w:rsidP="00FA3ACA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sz w:val="22"/>
                <w:lang w:val="en-US" w:eastAsia="ja-JP"/>
              </w:rPr>
            </w:pPr>
            <w:r w:rsidRPr="0057125F">
              <w:rPr>
                <w:rFonts w:asciiTheme="minorHAnsi" w:eastAsiaTheme="minorEastAsia" w:hAnsiTheme="minorHAnsi" w:cstheme="minorBidi"/>
                <w:lang w:val="en-US" w:eastAsia="zh-TW"/>
              </w:rPr>
              <w:lastRenderedPageBreak/>
              <w:t>If the high layer in TS 38.331 [2] signaling of smtc2 is configured, the SMTC periodicity follows smtc2; Otherwise SMTC periodicity follows smtc1.</w:t>
            </w:r>
          </w:p>
        </w:tc>
      </w:tr>
    </w:tbl>
    <w:p w14:paraId="5D5D4BA5" w14:textId="02ECF2D1" w:rsidR="0057125F" w:rsidRPr="0084007D" w:rsidRDefault="009A55BE" w:rsidP="00116CDB">
      <w:pPr>
        <w:pStyle w:val="af2"/>
        <w:rPr>
          <w:rFonts w:ascii="Arial" w:hAnsi="Arial" w:cs="Arial"/>
          <w:i/>
          <w:sz w:val="24"/>
          <w:szCs w:val="24"/>
        </w:rPr>
      </w:pPr>
      <w:bookmarkStart w:id="7" w:name="_Ref525942124"/>
      <w:r w:rsidRPr="0084007D">
        <w:rPr>
          <w:rFonts w:ascii="Arial" w:hAnsi="Arial" w:cs="Arial"/>
          <w:i/>
          <w:sz w:val="24"/>
          <w:szCs w:val="24"/>
        </w:rPr>
        <w:t xml:space="preserve">Proposal </w:t>
      </w:r>
      <w:r w:rsidRPr="0084007D">
        <w:rPr>
          <w:rFonts w:ascii="Arial" w:hAnsi="Arial" w:cs="Arial"/>
          <w:i/>
          <w:sz w:val="24"/>
          <w:szCs w:val="24"/>
        </w:rPr>
        <w:fldChar w:fldCharType="begin"/>
      </w:r>
      <w:r w:rsidRPr="0084007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84007D">
        <w:rPr>
          <w:rFonts w:ascii="Arial" w:hAnsi="Arial" w:cs="Arial"/>
          <w:i/>
          <w:sz w:val="24"/>
          <w:szCs w:val="24"/>
        </w:rPr>
        <w:fldChar w:fldCharType="separate"/>
      </w:r>
      <w:r w:rsidR="00961272" w:rsidRPr="0084007D">
        <w:rPr>
          <w:rFonts w:ascii="Arial" w:hAnsi="Arial" w:cs="Arial"/>
          <w:i/>
          <w:noProof/>
          <w:sz w:val="24"/>
          <w:szCs w:val="24"/>
        </w:rPr>
        <w:t>1</w:t>
      </w:r>
      <w:r w:rsidRPr="0084007D">
        <w:rPr>
          <w:rFonts w:ascii="Arial" w:hAnsi="Arial" w:cs="Arial"/>
          <w:i/>
          <w:sz w:val="24"/>
          <w:szCs w:val="24"/>
        </w:rPr>
        <w:fldChar w:fldCharType="end"/>
      </w:r>
      <w:r w:rsidRPr="0084007D">
        <w:rPr>
          <w:rFonts w:ascii="Arial" w:hAnsi="Arial" w:cs="Arial"/>
          <w:i/>
          <w:sz w:val="24"/>
          <w:szCs w:val="24"/>
        </w:rPr>
        <w:t xml:space="preserve">: For requirements not related to L3 mobility measurements, e.g., RLM, but impacted by the selection between 2 SMTC periodicities of intra-frequency measurement requirements, we assume smtc2 is always </w:t>
      </w:r>
      <w:r w:rsidR="00116CDB">
        <w:rPr>
          <w:rFonts w:ascii="Arial" w:hAnsi="Arial" w:cs="Arial"/>
          <w:i/>
          <w:sz w:val="24"/>
          <w:szCs w:val="24"/>
        </w:rPr>
        <w:t>used</w:t>
      </w:r>
      <w:r w:rsidRPr="0084007D">
        <w:rPr>
          <w:rFonts w:ascii="Arial" w:hAnsi="Arial" w:cs="Arial"/>
          <w:i/>
          <w:sz w:val="24"/>
          <w:szCs w:val="24"/>
        </w:rPr>
        <w:t xml:space="preserve"> for those intra-frequency measurement requirements.</w:t>
      </w:r>
      <w:bookmarkEnd w:id="7"/>
    </w:p>
    <w:p w14:paraId="7721CEBF" w14:textId="77777777" w:rsidR="009A55BE" w:rsidRDefault="009A55BE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67055DC3" w14:textId="0BFB4F0F" w:rsidR="009A55BE" w:rsidRDefault="009A55BE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For intra-frequency measurement requirements with 2 SMTC periodicities (category A), we should allow the flexibility of UE to perform measurement based on either smtc1 </w:t>
      </w:r>
      <w:r w:rsidR="008B7F9E">
        <w:rPr>
          <w:rFonts w:ascii="Arial" w:eastAsiaTheme="minorEastAsia" w:hAnsi="Arial" w:cs="Arial"/>
          <w:b w:val="0"/>
          <w:sz w:val="22"/>
          <w:szCs w:val="22"/>
        </w:rPr>
        <w:t>or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smtc2. In this way, better mobility performance </w:t>
      </w:r>
      <w:r w:rsidR="007464F8">
        <w:rPr>
          <w:rFonts w:ascii="Arial" w:eastAsiaTheme="minorEastAsia" w:hAnsi="Arial" w:cs="Arial"/>
          <w:b w:val="0"/>
          <w:sz w:val="22"/>
          <w:szCs w:val="22"/>
        </w:rPr>
        <w:t>might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be achieved for those cells in the cell list, providing a tool for potentially better network </w:t>
      </w:r>
      <w:r w:rsidR="00E93777">
        <w:rPr>
          <w:rFonts w:ascii="Arial" w:eastAsiaTheme="minorEastAsia" w:hAnsi="Arial" w:cs="Arial"/>
          <w:b w:val="0"/>
          <w:sz w:val="22"/>
          <w:szCs w:val="22"/>
        </w:rPr>
        <w:t>optimization</w:t>
      </w:r>
      <w:r>
        <w:rPr>
          <w:rFonts w:ascii="Arial" w:eastAsiaTheme="minorEastAsia" w:hAnsi="Arial" w:cs="Arial"/>
          <w:b w:val="0"/>
          <w:sz w:val="22"/>
          <w:szCs w:val="22"/>
        </w:rPr>
        <w:t>.</w:t>
      </w:r>
    </w:p>
    <w:p w14:paraId="70796B59" w14:textId="5929A18E" w:rsidR="009A55BE" w:rsidRPr="0084007D" w:rsidRDefault="009A55BE" w:rsidP="00116CDB">
      <w:pPr>
        <w:pStyle w:val="af2"/>
        <w:rPr>
          <w:rFonts w:ascii="Arial" w:hAnsi="Arial" w:cs="Arial"/>
          <w:i/>
          <w:sz w:val="24"/>
          <w:szCs w:val="24"/>
        </w:rPr>
      </w:pPr>
      <w:bookmarkStart w:id="8" w:name="_Ref525942127"/>
      <w:r w:rsidRPr="0084007D">
        <w:rPr>
          <w:rFonts w:ascii="Arial" w:hAnsi="Arial" w:cs="Arial"/>
          <w:i/>
          <w:sz w:val="24"/>
          <w:szCs w:val="24"/>
        </w:rPr>
        <w:t xml:space="preserve">Proposal </w:t>
      </w:r>
      <w:r w:rsidRPr="0084007D">
        <w:rPr>
          <w:rFonts w:ascii="Arial" w:hAnsi="Arial" w:cs="Arial"/>
          <w:i/>
          <w:sz w:val="24"/>
          <w:szCs w:val="24"/>
        </w:rPr>
        <w:fldChar w:fldCharType="begin"/>
      </w:r>
      <w:r w:rsidRPr="0084007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84007D">
        <w:rPr>
          <w:rFonts w:ascii="Arial" w:hAnsi="Arial" w:cs="Arial"/>
          <w:i/>
          <w:sz w:val="24"/>
          <w:szCs w:val="24"/>
        </w:rPr>
        <w:fldChar w:fldCharType="separate"/>
      </w:r>
      <w:r w:rsidR="00961272" w:rsidRPr="0084007D">
        <w:rPr>
          <w:rFonts w:ascii="Arial" w:hAnsi="Arial" w:cs="Arial"/>
          <w:i/>
          <w:sz w:val="24"/>
          <w:szCs w:val="24"/>
        </w:rPr>
        <w:t>2</w:t>
      </w:r>
      <w:r w:rsidRPr="0084007D">
        <w:rPr>
          <w:rFonts w:ascii="Arial" w:hAnsi="Arial" w:cs="Arial"/>
          <w:i/>
          <w:sz w:val="24"/>
          <w:szCs w:val="24"/>
        </w:rPr>
        <w:fldChar w:fldCharType="end"/>
      </w:r>
      <w:r w:rsidRPr="0084007D">
        <w:rPr>
          <w:rFonts w:ascii="Arial" w:hAnsi="Arial" w:cs="Arial"/>
          <w:i/>
          <w:sz w:val="24"/>
          <w:szCs w:val="24"/>
        </w:rPr>
        <w:t xml:space="preserve">: For intra-frequency measurement requirements with 2 SMTC periodicities, </w:t>
      </w:r>
      <w:r w:rsidR="00116CDB">
        <w:rPr>
          <w:rFonts w:ascii="Arial" w:hAnsi="Arial" w:cs="Arial"/>
          <w:i/>
          <w:sz w:val="24"/>
          <w:szCs w:val="24"/>
        </w:rPr>
        <w:t xml:space="preserve">the </w:t>
      </w:r>
      <w:r w:rsidRPr="0084007D">
        <w:rPr>
          <w:rFonts w:ascii="Arial" w:hAnsi="Arial" w:cs="Arial"/>
          <w:i/>
          <w:sz w:val="24"/>
          <w:szCs w:val="24"/>
        </w:rPr>
        <w:t xml:space="preserve">flexibility of UE to perform measurement based on either smtc1 </w:t>
      </w:r>
      <w:r w:rsidR="007464F8" w:rsidRPr="0084007D">
        <w:rPr>
          <w:rFonts w:ascii="Arial" w:hAnsi="Arial" w:cs="Arial"/>
          <w:i/>
          <w:sz w:val="24"/>
          <w:szCs w:val="24"/>
        </w:rPr>
        <w:t>or</w:t>
      </w:r>
      <w:r w:rsidRPr="0084007D">
        <w:rPr>
          <w:rFonts w:ascii="Arial" w:hAnsi="Arial" w:cs="Arial"/>
          <w:i/>
          <w:sz w:val="24"/>
          <w:szCs w:val="24"/>
        </w:rPr>
        <w:t xml:space="preserve"> smtc2 should be allowed.</w:t>
      </w:r>
      <w:bookmarkEnd w:id="8"/>
    </w:p>
    <w:p w14:paraId="7324D480" w14:textId="77777777" w:rsidR="007F3D80" w:rsidRDefault="007F3D80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66F91EB2" w14:textId="5A158458" w:rsidR="007F3D80" w:rsidRDefault="007F3D80" w:rsidP="007F3D80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To allow this flexibility, we need to assume UE performs measurement based on smtc1 and smtc2 concurrently. For an example, UE behavior may become scenario 1a/1b when following smtc1 and become 2a/2b when following smtc2. Under scenario 1a/1b, UE performs measurement within gap, and under scenario 2a/2b, UE perform</w:t>
      </w:r>
      <w:r w:rsidR="00EA67B5">
        <w:rPr>
          <w:rFonts w:ascii="Arial" w:eastAsiaTheme="minorEastAsia" w:hAnsi="Arial" w:cs="Arial"/>
          <w:b w:val="0"/>
          <w:sz w:val="22"/>
          <w:szCs w:val="22"/>
        </w:rPr>
        <w:t>s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measurement outside gap. Therefore, to achieve proposal 2, we need to assume UE performs measurement both within gap and outside gap. This principle should be </w:t>
      </w:r>
      <w:r w:rsidR="00C82C2B">
        <w:rPr>
          <w:rFonts w:ascii="Arial" w:eastAsiaTheme="minorEastAsia" w:hAnsi="Arial" w:cs="Arial"/>
          <w:b w:val="0"/>
          <w:sz w:val="22"/>
          <w:szCs w:val="22"/>
        </w:rPr>
        <w:t>adopted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</w:t>
      </w:r>
      <w:r w:rsidR="00C82C2B">
        <w:rPr>
          <w:rFonts w:ascii="Arial" w:eastAsiaTheme="minorEastAsia" w:hAnsi="Arial" w:cs="Arial"/>
          <w:b w:val="0"/>
          <w:sz w:val="22"/>
          <w:szCs w:val="22"/>
        </w:rPr>
        <w:t>by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all intra-frequency layers with dual SMTC periodicities when calculating the CSF value.</w:t>
      </w:r>
    </w:p>
    <w:p w14:paraId="7D89BBBC" w14:textId="77777777" w:rsidR="00165BBD" w:rsidRDefault="0033740F" w:rsidP="00D23147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One example is shown in Figure 1, both measurements for intra-F1 and intra-F2 could be within gap if smtc1 is assumed and outside gap if smtc2 is assumed. Therefore, </w:t>
      </w:r>
      <w:r w:rsidR="001C393C">
        <w:rPr>
          <w:rFonts w:ascii="Arial" w:eastAsiaTheme="minorEastAsia" w:hAnsi="Arial" w:cs="Arial"/>
          <w:b w:val="0"/>
          <w:sz w:val="22"/>
          <w:szCs w:val="22"/>
        </w:rPr>
        <w:t xml:space="preserve">the requirements should be designed to </w:t>
      </w:r>
      <w:r w:rsidR="00DB0593">
        <w:rPr>
          <w:rFonts w:ascii="Arial" w:eastAsiaTheme="minorEastAsia" w:hAnsi="Arial" w:cs="Arial"/>
          <w:b w:val="0"/>
          <w:sz w:val="22"/>
          <w:szCs w:val="22"/>
        </w:rPr>
        <w:t xml:space="preserve">allow UE to measure both within gap and outside gap for intra-F1 and both within gap and outside gap for intra-F2. </w:t>
      </w:r>
      <w:r w:rsidR="00165BBD">
        <w:rPr>
          <w:rFonts w:ascii="Arial" w:eastAsiaTheme="minorEastAsia" w:hAnsi="Arial" w:cs="Arial"/>
          <w:b w:val="0"/>
          <w:sz w:val="22"/>
          <w:szCs w:val="22"/>
        </w:rPr>
        <w:t xml:space="preserve">In other words, </w:t>
      </w:r>
    </w:p>
    <w:p w14:paraId="7E1B7797" w14:textId="5211735B" w:rsidR="007F3D80" w:rsidRDefault="00165BBD" w:rsidP="00116CDB">
      <w:pPr>
        <w:pStyle w:val="af2"/>
        <w:numPr>
          <w:ilvl w:val="0"/>
          <w:numId w:val="6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When requirement of intra-F1 measurement within gap is calculated, we need assume measurement for intra-F2 as a competitor. So the cell specific scaling factor (CSF) for intra-F1 needs to assume smtc1 for intra-F2 measurement.</w:t>
      </w:r>
    </w:p>
    <w:p w14:paraId="744E1F77" w14:textId="70726A1B" w:rsidR="00165BBD" w:rsidRDefault="00165BBD" w:rsidP="00165BBD">
      <w:pPr>
        <w:pStyle w:val="af2"/>
        <w:numPr>
          <w:ilvl w:val="0"/>
          <w:numId w:val="6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When requirement of intra-F1 measurement outside gap is calculated, we need assume measurement for intra-F2 as a competitor. So the cell specific scaling factor (CSF) for intra-F1 needs to assume smtc2 for intra-F2 measurement.</w:t>
      </w:r>
    </w:p>
    <w:p w14:paraId="06EDD8C2" w14:textId="39B0B0E0" w:rsidR="00165BBD" w:rsidRDefault="00165BBD" w:rsidP="00165BBD">
      <w:pPr>
        <w:pStyle w:val="af2"/>
        <w:numPr>
          <w:ilvl w:val="0"/>
          <w:numId w:val="6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lastRenderedPageBreak/>
        <w:t>When requirement of intra-F2 measurement within gap is calculated, we need assume measurement for intra-F1 as a competitor. So the cell specific scaling factor (CSF) for intra-F2 needs to assume smtc1 for intra-F1 measurement.</w:t>
      </w:r>
    </w:p>
    <w:p w14:paraId="6DA13FD3" w14:textId="759311BF" w:rsidR="00165BBD" w:rsidRDefault="00165BBD" w:rsidP="00165BBD">
      <w:pPr>
        <w:pStyle w:val="af2"/>
        <w:numPr>
          <w:ilvl w:val="0"/>
          <w:numId w:val="6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When requirement of intra-F2 measurement outside gap is calculated, we need assume measurement for intra-F1 as a competitor. So the cell specific scaling factor (CSF) for intra-F2 needs to assume smtc2 for intra-F1 measurement.</w:t>
      </w:r>
    </w:p>
    <w:p w14:paraId="4C021509" w14:textId="77777777" w:rsidR="00165BBD" w:rsidRPr="00116CDB" w:rsidRDefault="00165BBD" w:rsidP="00116CDB">
      <w:pPr>
        <w:rPr>
          <w:b/>
        </w:rPr>
      </w:pPr>
    </w:p>
    <w:p w14:paraId="0C435671" w14:textId="77777777" w:rsidR="0057125F" w:rsidRDefault="0057125F" w:rsidP="0057125F">
      <w:pPr>
        <w:jc w:val="center"/>
        <w:rPr>
          <w:rFonts w:ascii="Arial" w:hAnsi="Arial" w:cs="Arial"/>
          <w:b/>
        </w:rPr>
      </w:pPr>
      <w:r w:rsidRPr="0057125F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B7560A4" wp14:editId="6577B193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5174615" cy="2219325"/>
                <wp:effectExtent l="0" t="0" r="64135" b="9525"/>
                <wp:wrapSquare wrapText="bothSides"/>
                <wp:docPr id="97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4701" cy="2219847"/>
                          <a:chOff x="0" y="0"/>
                          <a:chExt cx="5174701" cy="2219847"/>
                        </a:xfrm>
                      </wpg:grpSpPr>
                      <wps:wsp>
                        <wps:cNvPr id="98" name="文字方塊 37"/>
                        <wps:cNvSpPr txBox="1"/>
                        <wps:spPr>
                          <a:xfrm>
                            <a:off x="3319" y="0"/>
                            <a:ext cx="1076960" cy="3378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831CFF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A: Intra-F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position w:val="-6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, smtc1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9" name="文字方塊 40"/>
                        <wps:cNvSpPr txBox="1"/>
                        <wps:spPr>
                          <a:xfrm>
                            <a:off x="7700" y="469716"/>
                            <a:ext cx="1076960" cy="3378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FC5FD8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A: Intra-F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position w:val="-6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, smtc2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0" name="文字方塊 41"/>
                        <wps:cNvSpPr txBox="1"/>
                        <wps:spPr>
                          <a:xfrm>
                            <a:off x="3319" y="934384"/>
                            <a:ext cx="1136650" cy="3378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F5A906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B1: Intra-F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position w:val="-6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, smtc1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1" name="文字方塊 37"/>
                        <wps:cNvSpPr txBox="1"/>
                        <wps:spPr>
                          <a:xfrm>
                            <a:off x="0" y="1383267"/>
                            <a:ext cx="1108075" cy="3378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6236EE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B1:Intra-F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position w:val="-6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, smtc2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2" name="文字方塊 37"/>
                        <wps:cNvSpPr txBox="1"/>
                        <wps:spPr>
                          <a:xfrm>
                            <a:off x="0" y="1882027"/>
                            <a:ext cx="372110" cy="3378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E20394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3" name="矩形 45"/>
                        <wps:cNvSpPr/>
                        <wps:spPr>
                          <a:xfrm>
                            <a:off x="1278637" y="67749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7964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7964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7964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5B02AAB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4" name="矩形 46"/>
                        <wps:cNvSpPr/>
                        <wps:spPr>
                          <a:xfrm>
                            <a:off x="3229287" y="67749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7964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7964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7964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3261BD29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5" name="矩形 47"/>
                        <wps:cNvSpPr/>
                        <wps:spPr>
                          <a:xfrm>
                            <a:off x="2264635" y="529855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7964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7964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7964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AA29BF8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6" name="矩形 48"/>
                        <wps:cNvSpPr/>
                        <wps:spPr>
                          <a:xfrm>
                            <a:off x="4215285" y="529855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7964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7964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7964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7B465D45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7" name="矩形 49"/>
                        <wps:cNvSpPr/>
                        <wps:spPr>
                          <a:xfrm>
                            <a:off x="1285964" y="997312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55751AA6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8" name="矩形 50"/>
                        <wps:cNvSpPr/>
                        <wps:spPr>
                          <a:xfrm>
                            <a:off x="3236614" y="997312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88C3271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9" name="直線單箭頭接點 51"/>
                        <wps:cNvCnPr/>
                        <wps:spPr>
                          <a:xfrm>
                            <a:off x="785003" y="253392"/>
                            <a:ext cx="4389698" cy="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0" name="直線單箭頭接點 52"/>
                        <wps:cNvCnPr/>
                        <wps:spPr>
                          <a:xfrm flipV="1">
                            <a:off x="785003" y="713853"/>
                            <a:ext cx="4389698" cy="934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1" name="直線單箭頭接點 53"/>
                        <wps:cNvCnPr/>
                        <wps:spPr>
                          <a:xfrm flipV="1">
                            <a:off x="785003" y="1180243"/>
                            <a:ext cx="4389698" cy="196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2" name="矩形 32"/>
                        <wps:cNvSpPr/>
                        <wps:spPr>
                          <a:xfrm>
                            <a:off x="1283174" y="1446237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577CE41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3" name="矩形 33"/>
                        <wps:cNvSpPr/>
                        <wps:spPr>
                          <a:xfrm>
                            <a:off x="3233824" y="1446237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03045BD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4" name="直線單箭頭接點 40"/>
                        <wps:cNvCnPr/>
                        <wps:spPr>
                          <a:xfrm flipV="1">
                            <a:off x="782213" y="1629168"/>
                            <a:ext cx="4389698" cy="196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5" name="矩形 32"/>
                        <wps:cNvSpPr/>
                        <wps:spPr>
                          <a:xfrm>
                            <a:off x="1283174" y="1938421"/>
                            <a:ext cx="488026" cy="184931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36F0515B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MG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6" name="矩形 33"/>
                        <wps:cNvSpPr/>
                        <wps:spPr>
                          <a:xfrm>
                            <a:off x="3233824" y="1938421"/>
                            <a:ext cx="488026" cy="184931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3C6DE6E7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MG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7" name="直線單箭頭接點 40"/>
                        <wps:cNvCnPr/>
                        <wps:spPr>
                          <a:xfrm flipV="1">
                            <a:off x="782213" y="2127975"/>
                            <a:ext cx="4389698" cy="196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8" name="矩形 32"/>
                        <wps:cNvSpPr/>
                        <wps:spPr>
                          <a:xfrm>
                            <a:off x="2256227" y="1443610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5F3FF366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9" name="矩形 33"/>
                        <wps:cNvSpPr/>
                        <wps:spPr>
                          <a:xfrm>
                            <a:off x="4206877" y="1443610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336974D6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2" name="矩形 64"/>
                        <wps:cNvSpPr/>
                        <wps:spPr>
                          <a:xfrm>
                            <a:off x="1276647" y="532836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7964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7964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7964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73BF2C1" w14:textId="0FA307D1" w:rsidR="0057125F" w:rsidRDefault="00F165E1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1</w:t>
                              </w:r>
                              <w:r w:rsidR="0057125F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矩形 65"/>
                        <wps:cNvSpPr/>
                        <wps:spPr>
                          <a:xfrm>
                            <a:off x="3227297" y="532836"/>
                            <a:ext cx="488026" cy="1849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7964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7964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7964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71DC9965" w14:textId="77777777" w:rsidR="0057125F" w:rsidRDefault="0057125F" w:rsidP="0057125F">
                              <w:pPr>
                                <w:pStyle w:val="Web"/>
                                <w:spacing w:before="0"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SSB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7560A4" id="Group 6" o:spid="_x0000_s1026" style="position:absolute;left:0;text-align:left;margin-left:0;margin-top:.4pt;width:407.45pt;height:174.75pt;z-index:251672576;mso-position-horizontal:center;mso-position-horizontal-relative:margin" coordsize="51747,22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37" o:spid="_x0000_s1027" type="#_x0000_t202" style="position:absolute;left:33;width:10769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1h78A&#10;AADbAAAADwAAAGRycy9kb3ducmV2LnhtbERPy4rCMBTdC/5DuII7TRVHajWK+IDZja8PuDTXpra5&#10;KU3Uznz9ZDEwy8N5rzadrcWLWl86VjAZJyCIc6dLLhTcrsdRCsIHZI21Y1LwTR42635vhZl2bz7T&#10;6xIKEUPYZ6jAhNBkUvrckEU/dg1x5O6utRgibAupW3zHcFvLaZLMpcWSY4PBhnaG8urytArSxH5V&#10;1WJ68nb2M/kwu707NA+lhoNuuwQRqAv/4j/3p1awiGPjl/gD5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5fWHvwAAANsAAAAPAAAAAAAAAAAAAAAAAJgCAABkcnMvZG93bnJl&#10;di54bWxQSwUGAAAAAAQABAD1AAAAhAMAAAAA&#10;" filled="f" stroked="f">
                  <v:textbox style="mso-fit-shape-to-text:t">
                    <w:txbxContent>
                      <w:p w14:paraId="6F831CFF" w14:textId="77777777" w:rsidR="0057125F" w:rsidRDefault="0057125F" w:rsidP="0057125F">
                        <w:pPr>
                          <w:pStyle w:val="Web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A: Intra-F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position w:val="-6"/>
                            <w:vertAlign w:val="subscript"/>
                          </w:rPr>
                          <w:t>1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, smtc1</w:t>
                        </w:r>
                      </w:p>
                    </w:txbxContent>
                  </v:textbox>
                </v:shape>
                <v:shape id="文字方塊 40" o:spid="_x0000_s1028" type="#_x0000_t202" style="position:absolute;left:77;top:4697;width:10769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lQHMQA&#10;AADbAAAADwAAAGRycy9kb3ducmV2LnhtbESP0WrCQBRE3wv+w3KFvtVNxBYT3YhYC31rjX7AJXvN&#10;xmTvhuxW0359t1DwcZiZM8x6M9pOXGnwjWMF6SwBQVw53XCt4HR8e1qC8AFZY+eYFHyTh00xeVhj&#10;rt2ND3QtQy0ihH2OCkwIfS6lrwxZ9DPXE0fv7AaLIcqhlnrAW4TbTs6T5EVabDguGOxpZ6hqyy+r&#10;YJnYj7bN5p/eLn7SZ7N7dfv+otTjdNyuQAQawz38337XCrIM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pUBzEAAAA2wAAAA8AAAAAAAAAAAAAAAAAmAIAAGRycy9k&#10;b3ducmV2LnhtbFBLBQYAAAAABAAEAPUAAACJAwAAAAA=&#10;" filled="f" stroked="f">
                  <v:textbox style="mso-fit-shape-to-text:t">
                    <w:txbxContent>
                      <w:p w14:paraId="13FC5FD8" w14:textId="77777777" w:rsidR="0057125F" w:rsidRDefault="0057125F" w:rsidP="0057125F">
                        <w:pPr>
                          <w:pStyle w:val="Web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A: Intra-F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position w:val="-6"/>
                            <w:vertAlign w:val="subscript"/>
                          </w:rPr>
                          <w:t>1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, smtc2</w:t>
                        </w:r>
                      </w:p>
                    </w:txbxContent>
                  </v:textbox>
                </v:shape>
                <v:shape id="文字方塊 41" o:spid="_x0000_s1029" type="#_x0000_t202" style="position:absolute;left:33;top:9343;width:11366;height:33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Ln9cQA&#10;AADcAAAADwAAAGRycy9kb3ducmV2LnhtbESPQW/CMAyF75P2HyJP2m0koDFBR0AT2yRubIwfYDVe&#10;07VxqiaDwq/HByRutt7ze58XqyG06kB9qiNbGI8MKOIyuporC/ufz6cZqJSRHbaRycKJEqyW93cL&#10;LFw88jcddrlSEsKpQAs+567QOpWeAqZR7IhF+419wCxrX2nX41HCQ6snxrzogDVLg8eO1p7KZvcf&#10;LMxM2DbNfPKVwvN5PPXr9/jR/Vn7+DC8vYLKNOSb+Xq9cYJvBF+ekQn0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S5/XEAAAA3AAAAA8AAAAAAAAAAAAAAAAAmAIAAGRycy9k&#10;b3ducmV2LnhtbFBLBQYAAAAABAAEAPUAAACJAwAAAAA=&#10;" filled="f" stroked="f">
                  <v:textbox style="mso-fit-shape-to-text:t">
                    <w:txbxContent>
                      <w:p w14:paraId="53F5A906" w14:textId="77777777" w:rsidR="0057125F" w:rsidRDefault="0057125F" w:rsidP="0057125F">
                        <w:pPr>
                          <w:pStyle w:val="Web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B1: Intra-F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position w:val="-6"/>
                            <w:vertAlign w:val="subscript"/>
                          </w:rPr>
                          <w:t>2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, smtc1</w:t>
                        </w:r>
                      </w:p>
                    </w:txbxContent>
                  </v:textbox>
                </v:shape>
                <v:shape id="文字方塊 37" o:spid="_x0000_s1030" type="#_x0000_t202" style="position:absolute;top:13832;width:11080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5CbsIA&#10;AADcAAAADwAAAGRycy9kb3ducmV2LnhtbERP22oCMRB9L/gPYQTfarJii65GEavQt9bLBwybcbPu&#10;ZrJsUt3265tCwbc5nOss171rxI26UHnWkI0VCOLCm4pLDefT/nkGIkRkg41n0vBNAdarwdMSc+Pv&#10;fKDbMZYihXDIUYONsc2lDIUlh2HsW+LEXXznMCbYldJ0eE/hrpETpV6lw4pTg8WWtpaK+vjlNMyU&#10;+6jr+eQzuOlP9mK3b37XXrUeDfvNAkSkPj7E/+53k+arDP6eS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HkJuwgAAANwAAAAPAAAAAAAAAAAAAAAAAJgCAABkcnMvZG93&#10;bnJldi54bWxQSwUGAAAAAAQABAD1AAAAhwMAAAAA&#10;" filled="f" stroked="f">
                  <v:textbox style="mso-fit-shape-to-text:t">
                    <w:txbxContent>
                      <w:p w14:paraId="126236EE" w14:textId="77777777" w:rsidR="0057125F" w:rsidRDefault="0057125F" w:rsidP="0057125F">
                        <w:pPr>
                          <w:pStyle w:val="Web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B1:Intra-F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position w:val="-6"/>
                            <w:vertAlign w:val="subscript"/>
                          </w:rPr>
                          <w:t>2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, smtc2</w:t>
                        </w:r>
                      </w:p>
                    </w:txbxContent>
                  </v:textbox>
                </v:shape>
                <v:shape id="文字方塊 37" o:spid="_x0000_s1031" type="#_x0000_t202" style="position:absolute;top:18820;width:3721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zcGcIA&#10;AADcAAAADwAAAGRycy9kb3ducmV2LnhtbERP22oCMRB9L/gPYQTfauJii65GEavQt9bLBwybcbPu&#10;ZrJsUt3265tCwbc5nOss171rxI26UHnWMBkrEMSFNxWXGs6n/fMMRIjIBhvPpOGbAqxXg6cl5sbf&#10;+UC3YyxFCuGQowYbY5tLGQpLDsPYt8SJu/jOYUywK6Xp8J7CXSMzpV6lw4pTg8WWtpaK+vjlNMyU&#10;+6jrefYZ3PRn8mK3b37XXrUeDfvNAkSkPj7E/+53k+arDP6eS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zNwZwgAAANwAAAAPAAAAAAAAAAAAAAAAAJgCAABkcnMvZG93&#10;bnJldi54bWxQSwUGAAAAAAQABAD1AAAAhwMAAAAA&#10;" filled="f" stroked="f">
                  <v:textbox style="mso-fit-shape-to-text:t">
                    <w:txbxContent>
                      <w:p w14:paraId="5CE20394" w14:textId="77777777" w:rsidR="0057125F" w:rsidRDefault="0057125F" w:rsidP="0057125F">
                        <w:pPr>
                          <w:pStyle w:val="Web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MG</w:t>
                        </w:r>
                      </w:p>
                    </w:txbxContent>
                  </v:textbox>
                </v:shape>
                <v:rect id="矩形 45" o:spid="_x0000_s1032" style="position:absolute;left:12786;top:677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Wg8EA&#10;AADcAAAADwAAAGRycy9kb3ducmV2LnhtbERPTWvCQBC9F/wPywi91Y1Ki6SuIorSYxs92Ns0O81G&#10;szMhu2r8991Cobd5vM+ZL3vfqCt1oRY2MB5loIhLsTVXBg777dMMVIjIFhthMnCnAMvF4GGOuZUb&#10;f9C1iJVKIRxyNOBibHOtQ+nIYxhJS5y4b+k8xgS7StsObyncN3qSZS/aY82pwWFLa0flubh4A6c1&#10;Hk/2Pha9eS/kS9zncaefjXkc9qtXUJH6+C/+c7/ZND+bwu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UloPBAAAA3AAAAA8AAAAAAAAAAAAAAAAAmAIAAGRycy9kb3du&#10;cmV2LnhtbFBLBQYAAAAABAAEAPUAAACGAwAAAAA=&#10;" fillcolor="#ffbe86" strokecolor="windowText" strokeweight="1.5pt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14:paraId="65B02AAB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46" o:spid="_x0000_s1033" style="position:absolute;left:32292;top:677;width:4881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0O98EA&#10;AADcAAAADwAAAGRycy9kb3ducmV2LnhtbERPTWvCQBC9F/wPywi91Y1ii6SuIorSYxs92Ns0O81G&#10;szMhu2r8991Cobd5vM+ZL3vfqCt1oRY2MB5loIhLsTVXBg777dMMVIjIFhthMnCnAMvF4GGOuZUb&#10;f9C1iJVKIRxyNOBibHOtQ+nIYxhJS5y4b+k8xgS7StsObyncN3qSZS/aY82pwWFLa0flubh4A6c1&#10;Hk/2Pha9eS/kS9zncaefjXkc9qtXUJH6+C/+c7/ZND+bwu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9DvfBAAAA3AAAAA8AAAAAAAAAAAAAAAAAmAIAAGRycy9kb3du&#10;cmV2LnhtbFBLBQYAAAAABAAEAPUAAACGAwAAAAA=&#10;" fillcolor="#ffbe86" strokecolor="windowText" strokeweight="1.5pt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14:paraId="3261BD29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47" o:spid="_x0000_s1034" style="position:absolute;left:22646;top:5298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rbMEA&#10;AADcAAAADwAAAGRycy9kb3ducmV2LnhtbERPTWvCQBC9F/wPywi91Y0Fi6SuIoqlxzZ6SG9jdsxG&#10;szMhu9X477uFQm/zeJ+zWA2+VVfqQyNsYDrJQBFXYhuuDRz2u6c5qBCRLbbCZOBOAVbL0cMCcys3&#10;/qRrEWuVQjjkaMDF2OVah8qRxzCRjjhxJ+k9xgT7Wtsebynct/o5y160x4ZTg8OONo6qS/HtDZw3&#10;WJ7tfSp6+1HIUdxX+aZnxjyOh/UrqEhD/Bf/ud9tmp/N4PeZdIF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xq2zBAAAA3AAAAA8AAAAAAAAAAAAAAAAAmAIAAGRycy9kb3du&#10;cmV2LnhtbFBLBQYAAAAABAAEAPUAAACGAwAAAAA=&#10;" fillcolor="#ffbe86" strokecolor="windowText" strokeweight="1.5pt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14:paraId="6AA29BF8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48" o:spid="_x0000_s1035" style="position:absolute;left:42152;top:5298;width:4881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M1G8EA&#10;AADcAAAADwAAAGRycy9kb3ducmV2LnhtbERPTWvCQBC9F/wPywi91Y1CpURXKYri0aYe9DbNTrOx&#10;2ZmQXTX+e7dQ6G0e73Pmy9436kpdqIUNjEcZKOJSbM2VgcPn5uUNVIjIFhthMnCnAMvF4GmOuZUb&#10;f9C1iJVKIRxyNOBibHOtQ+nIYxhJS5y4b+k8xgS7StsObyncN3qSZVPtsebU4LCllaPyp7h4A+cV&#10;Hs/2Pha93hfyJe503OpXY56H/fsMVKQ+/ov/3Dub5mdT+H0mXa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jNRvBAAAA3AAAAA8AAAAAAAAAAAAAAAAAmAIAAGRycy9kb3du&#10;cmV2LnhtbFBLBQYAAAAABAAEAPUAAACGAwAAAAA=&#10;" fillcolor="#ffbe86" strokecolor="windowText" strokeweight="1.5pt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14:paraId="7B465D45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49" o:spid="_x0000_s1036" style="position:absolute;left:12859;top:9973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XCsYA&#10;AADcAAAADwAAAGRycy9kb3ducmV2LnhtbESPzWvCQBDF7wX/h2WE3nRTD42kbqQVBC+Wagt6HLOT&#10;D8zOhuyaj/71XUHobYb33m/erNaDqUVHrassK3iZRyCIM6srLhT8fG9nSxDOI2usLZOCkRys08nT&#10;ChNtez5Qd/SFCBB2CSoovW8SKV1WkkE3tw1x0HLbGvRhbQupW+wD3NRyEUWv0mDF4UKJDW1Kyq7H&#10;mwmU/WdcZx+5bq5fm9/labycd/Ki1PN0eH8D4Wnw/+ZHeqdD/SiG+zNhAp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QXCsYAAADcAAAADwAAAAAAAAAAAAAAAACYAgAAZHJz&#10;L2Rvd25yZXYueG1sUEsFBgAAAAAEAAQA9QAAAIsDAAAAAA==&#10;" fillcolor="#9eeaff" strokecolor="windowText" strokeweight="1.5pt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14:paraId="55751AA6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50" o:spid="_x0000_s1037" style="position:absolute;left:32366;top:9973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uDeMYA&#10;AADcAAAADwAAAGRycy9kb3ducmV2LnhtbESPQWvCQBCF70L/wzKF3nTTHqpEV7GBgpcWtYX2OGbH&#10;JCQ7G7Jbk/TXOwfB2xvmzTfvrTaDa9SFulB5NvA8S0AR595WXBj4/nqfLkCFiGyx8UwGRgqwWT9M&#10;Vpha3/OBLsdYKIFwSNFAGWObah3ykhyGmW+JZXf2ncMoY1do22EvcNfolyR51Q4rlg8ltpSVlNfH&#10;PyeUj895k7+dbVvvs//Fz3j63emTMU+Pw3YJKtIQ7+bb9c5K/ETSShlRo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uDeMYAAADcAAAADwAAAAAAAAAAAAAAAACYAgAAZHJz&#10;L2Rvd25yZXYueG1sUEsFBgAAAAAEAAQA9QAAAIsDAAAAAA==&#10;" fillcolor="#9eeaff" strokecolor="windowText" strokeweight="1.5pt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14:paraId="088C3271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51" o:spid="_x0000_s1038" type="#_x0000_t32" style="position:absolute;left:7850;top:2533;width:438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Z1q8MAAADcAAAADwAAAGRycy9kb3ducmV2LnhtbERPS2sCMRC+C/6HMIXeNFuhYrdGKdaC&#10;J8FHS3sbNrObpZvJkmTd9d+bQsHbfHzPWa4H24gL+VA7VvA0zUAQF07XXCk4nz4mCxAhImtsHJOC&#10;KwVYr8ajJeba9XygyzFWIoVwyFGBibHNpQyFIYth6lrixJXOW4wJ+kpqj30Kt42cZdlcWqw5NRhs&#10;aWOo+D12VkH3vDX+fRZL3X//lPuu2hafX2elHh+Gt1cQkYZ4F/+7dzrNz17g75l0gV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WdavDAAAA3AAAAA8AAAAAAAAAAAAA&#10;AAAAoQIAAGRycy9kb3ducmV2LnhtbFBLBQYAAAAABAAEAPkAAACRAwAAAAA=&#10;" strokecolor="windowText" strokeweight="1.5pt">
                  <v:stroke endarrow="block"/>
                </v:shape>
                <v:shape id="直線單箭頭接點 52" o:spid="_x0000_s1039" type="#_x0000_t32" style="position:absolute;left:7850;top:7138;width:43897;height: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zqGMYAAADcAAAADwAAAGRycy9kb3ducmV2LnhtbESPQU8CMRCF7yb+h2ZMuEEXQ0BXCjEG&#10;FG4umuhxsh13q9vppq2w/HvnQOJtJu/Ne98s14Pv1JFicoENTCcFKOI6WMeNgfe37fgOVMrIFrvA&#10;ZOBMCdar66slljacuKLjITdKQjiVaKDNuS+1TnVLHtMk9MSifYXoMcsaG20jniTcd/q2KObao2Np&#10;aLGnp5bqn8OvNxCfP+b17GWz372e7z8rNyxc9R2NGd0Mjw+gMg3533y53lnBnwq+PCMT6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86hjGAAAA3AAAAA8AAAAAAAAA&#10;AAAAAAAAoQIAAGRycy9kb3ducmV2LnhtbFBLBQYAAAAABAAEAPkAAACUAwAAAAA=&#10;" strokecolor="windowText" strokeweight="1.5pt">
                  <v:stroke endarrow="block"/>
                </v:shape>
                <v:shape id="直線單箭頭接點 53" o:spid="_x0000_s1040" type="#_x0000_t32" style="position:absolute;left:7850;top:11802;width:43897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BPg8MAAADcAAAADwAAAGRycy9kb3ducmV2LnhtbERPTWsCMRC9F/wPYQRvNbsi2m6NUkRb&#10;vbm20B6HzXQ37WayJKmu/74RhN7m8T5nseptK07kg3GsIB9nIIgrpw3XCt7ftvcPIEJE1tg6JgUX&#10;CrBaDu4WWGh35pJOx1iLFMKhQAVNjF0hZagashjGriNO3JfzFmOCvpba4zmF21ZOsmwmLRpODQ12&#10;tG6o+jn+WgX+5WNWTV83+93h8vhZmn5uym+v1GjYPz+BiNTHf/HNvdNpfp7D9Zl0gV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wT4PDAAAA3AAAAA8AAAAAAAAAAAAA&#10;AAAAoQIAAGRycy9kb3ducmV2LnhtbFBLBQYAAAAABAAEAPkAAACRAwAAAAA=&#10;" strokecolor="windowText" strokeweight="1.5pt">
                  <v:stroke endarrow="block"/>
                </v:shape>
                <v:rect id="矩形 32" o:spid="_x0000_s1041" style="position:absolute;left:12831;top:14462;width:4881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oiT8UA&#10;AADcAAAADwAAAGRycy9kb3ducmV2LnhtbESPT4vCMBDF74LfIYzgbZvqYZVqKioIXlZ2VdDj2Ez/&#10;YDMpTdS6n94sLHib4b33mzfzRWdqcafWVZYVjKIYBHFmdcWFguNh8zEF4TyyxtoyKXiSg0Xa780x&#10;0fbBP3Tf+0IECLsEFZTeN4mULivJoItsQxy03LYGfVjbQuoWHwFuajmO409psOJwocSG1iVl1/3N&#10;BMrXblJnq1w31+/17/T0vJy38qLUcNAtZyA8df5t/k9vdag/GsPfM2ECm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qiJPxQAAANwAAAAPAAAAAAAAAAAAAAAAAJgCAABkcnMv&#10;ZG93bnJldi54bWxQSwUGAAAAAAQABAD1AAAAigMAAAAA&#10;" fillcolor="#9eeaff" strokecolor="windowText" strokeweight="1.5pt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14:paraId="0577CE41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33" o:spid="_x0000_s1042" style="position:absolute;left:32338;top:14462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aH1MUA&#10;AADcAAAADwAAAGRycy9kb3ducmV2LnhtbESPT4vCMBDF7wt+hzCCtzVVYZVqKioseFFcFfQ4NtM/&#10;2ExKk9W6n94sCN5meO/95s1s3ppK3KhxpWUFg34Egji1uuRcwfHw/TkB4TyyxsoyKXiQg3nS+Zhh&#10;rO2df+i297kIEHYxKii8r2MpXVqQQde3NXHQMtsY9GFtcqkbvAe4qeQwir6kwZLDhQJrWhWUXve/&#10;JlA223GVLjNdX3erv8npcTmv5UWpXrddTEF4av3b/Eqvdag/GMH/M2ECm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5ofUxQAAANwAAAAPAAAAAAAAAAAAAAAAAJgCAABkcnMv&#10;ZG93bnJldi54bWxQSwUGAAAAAAQABAD1AAAAigMAAAAA&#10;" fillcolor="#9eeaff" strokecolor="windowText" strokeweight="1.5pt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14:paraId="603045BD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shape id="直線單箭頭接點 40" o:spid="_x0000_s1043" type="#_x0000_t32" style="position:absolute;left:7822;top:16291;width:43897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fsG8MAAADcAAAADwAAAGRycy9kb3ducmV2LnhtbERPS2sCMRC+F/wPYQq91axFfGyNUkof&#10;enNV0OOwme6mbiZLkur67xtB8DYf33Nmi8424kQ+GMcKBv0MBHHptOFKwW77+TwBESKyxsYxKbhQ&#10;gMW89zDDXLszF3TaxEqkEA45KqhjbHMpQ1mTxdB3LXHifpy3GBP0ldQezyncNvIly0bSouHUUGNL&#10;7zWVx82fVeC/9qNy+P2xWq4v00NhurEpfr1ST4/d2yuISF28i2/upU7zB0O4PpMu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H7BvDAAAA3AAAAA8AAAAAAAAAAAAA&#10;AAAAoQIAAGRycy9kb3ducmV2LnhtbFBLBQYAAAAABAAEAPkAAACRAwAAAAA=&#10;" strokecolor="windowText" strokeweight="1.5pt">
                  <v:stroke endarrow="block"/>
                </v:shape>
                <v:rect id="矩形 32" o:spid="_x0000_s1044" style="position:absolute;left:12831;top:19384;width:4881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zIsQA&#10;AADcAAAADwAAAGRycy9kb3ducmV2LnhtbERPTWvCQBC9C/0PyxS86caKRaKr2BZRDz1UC9XbkB2T&#10;2Oxsmh1j+u+7hUJv83ifM192rlItNaH0bGA0TEARZ96WnBt4P6wHU1BBkC1WnsnANwVYLu56c0yt&#10;v/EbtXvJVQzhkKKBQqROtQ5ZQQ7D0NfEkTv7xqFE2OTaNniL4a7SD0nyqB2WHBsKrOm5oOxzf3UG&#10;jtV1N5HxKbivy8fm/PIkob28GtO/71YzUEKd/Iv/3Fsb548m8PtMvEA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v8yLEAAAA3AAAAA8AAAAAAAAAAAAAAAAAmAIAAGRycy9k&#10;b3ducmV2LnhtbFBLBQYAAAAABAAEAPUAAACJAwAAAAA=&#10;" fillcolor="#b3a2c7" strokecolor="windowText" strokeweight="1.5pt">
                  <v:shadow on="t" color="black" opacity="24903f" origin=",.5" offset="0,.55556mm"/>
                  <v:textbox>
                    <w:txbxContent>
                      <w:p w14:paraId="36F0515B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MG</w:t>
                        </w:r>
                      </w:p>
                    </w:txbxContent>
                  </v:textbox>
                </v:rect>
                <v:rect id="矩形 33" o:spid="_x0000_s1045" style="position:absolute;left:32338;top:19384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1tVcQA&#10;AADcAAAADwAAAGRycy9kb3ducmV2LnhtbERPTWvCQBC9F/wPywi91Y2WikRXsZbSeuihKqi3ITsm&#10;sdnZNDvG+O+7hUJv83ifM1t0rlItNaH0bGA4SEARZ96WnBvYbV8fJqCCIFusPJOBGwVYzHt3M0yt&#10;v/IntRvJVQzhkKKBQqROtQ5ZQQ7DwNfEkTv5xqFE2OTaNniN4a7SoyQZa4clx4YCa1oVlH1tLs7A&#10;obqsn+TxGNz3ef92enmW0J4/jLnvd8spKKFO/sV/7ncb5w/H8PtMvEDP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9bVXEAAAA3AAAAA8AAAAAAAAAAAAAAAAAmAIAAGRycy9k&#10;b3ducmV2LnhtbFBLBQYAAAAABAAEAPUAAACJAwAAAAA=&#10;" fillcolor="#b3a2c7" strokecolor="windowText" strokeweight="1.5pt">
                  <v:shadow on="t" color="black" opacity="24903f" origin=",.5" offset="0,.55556mm"/>
                  <v:textbox>
                    <w:txbxContent>
                      <w:p w14:paraId="3C6DE6E7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MG</w:t>
                        </w:r>
                      </w:p>
                    </w:txbxContent>
                  </v:textbox>
                </v:rect>
                <v:shape id="直線單箭頭接點 40" o:spid="_x0000_s1046" type="#_x0000_t32" style="position:absolute;left:7822;top:21279;width:43897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VybMMAAADcAAAADwAAAGRycy9kb3ducmV2LnhtbERPS2sCMRC+C/6HMIXeNGspPrZGKaUP&#10;vXVV0OOwme6mbiZLkur6740g9DYf33Pmy8424kQ+GMcKRsMMBHHptOFKwW77MZiCCBFZY+OYFFwo&#10;wHLR780x1+7MBZ02sRIphEOOCuoY21zKUNZkMQxdS5y4H+ctxgR9JbXHcwq3jXzKsrG0aDg11NjS&#10;W03lcfNnFfjP/bh8/npfr74vs0Nhuokpfr1Sjw/d6wuISF38F9/dK53mjyZweyZd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VcmzDAAAA3AAAAA8AAAAAAAAAAAAA&#10;AAAAoQIAAGRycy9kb3ducmV2LnhtbFBLBQYAAAAABAAEAPkAAACRAwAAAAA=&#10;" strokecolor="windowText" strokeweight="1.5pt">
                  <v:stroke endarrow="block"/>
                </v:shape>
                <v:rect id="矩形 32" o:spid="_x0000_s1047" style="position:absolute;left:22562;top:14436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IVpcYA&#10;AADcAAAADwAAAGRycy9kb3ducmV2LnhtbESPQWvCQBCF7wX/wzKCt7rRg5XUVdqAkEtLq4I9jtkx&#10;CWZnQ3abxP76zqHQ2xvmzTfvbXaja1RPXag9G1jME1DEhbc1lwZOx/3jGlSIyBYbz2TgTgF228nD&#10;BlPrB/6k/hBLJRAOKRqoYmxTrUNRkcMw9y2x7K6+cxhl7EptOxwE7hq9TJKVdlizfKiwpayi4nb4&#10;dkJ5e39qiterbW8f2c/6fL985fpizGw6vjyDijTGf/PfdW4l/kLSShlR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0IVpcYAAADcAAAADwAAAAAAAAAAAAAAAACYAgAAZHJz&#10;L2Rvd25yZXYueG1sUEsFBgAAAAAEAAQA9QAAAIsDAAAAAA==&#10;" fillcolor="#9eeaff" strokecolor="windowText" strokeweight="1.5pt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14:paraId="5F3FF366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33" o:spid="_x0000_s1048" style="position:absolute;left:42068;top:14436;width:4881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wPsUA&#10;AADcAAAADwAAAGRycy9kb3ducmV2LnhtbESPT4vCMBDF74LfIYywN03dg39qo6iw4GXFVUGPYzO2&#10;xWZSmljrfvqNsOBthvfeb94ki9aUoqHaFZYVDAcRCOLU6oIzBcfDV38CwnlkjaVlUvAkB4t5t5Ng&#10;rO2Df6jZ+0wECLsYFeTeV7GULs3JoBvYijhoV1sb9GGtM6lrfAS4KeVnFI2kwYLDhRwrWueU3vZ3&#10;Eyjf23GZrq66uu3Wv5PT83LeyItSH712OQPhqfVv8396o0P94RRez4QJ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DrA+xQAAANwAAAAPAAAAAAAAAAAAAAAAAJgCAABkcnMv&#10;ZG93bnJldi54bWxQSwUGAAAAAAQABAD1AAAAigMAAAAA&#10;" fillcolor="#9eeaff" strokecolor="windowText" strokeweight="1.5pt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14:paraId="336974D6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64" o:spid="_x0000_s1049" style="position:absolute;left:12766;top:5328;width:4880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1veMEA&#10;AADcAAAADwAAAGRycy9kb3ducmV2LnhtbERPTWvCQBC9F/wPywi91Y2BSkldRSyVHtvUg72N2TEb&#10;zc6E7Krx33eFQm/zeJ8zXw6+VRfqQyNsYDrJQBFXYhuuDWy/359eQIWIbLEVJgM3CrBcjB7mWFi5&#10;8hddylirFMKhQAMuxq7QOlSOPIaJdMSJO0jvMSbY19r2eE3hvtV5ls20x4ZTg8OO1o6qU3n2Bo5r&#10;3B3tbSr67bOUvbif3UY/G/M4HlavoCIN8V/85/6waX6ew/2ZdIF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tb3jBAAAA3AAAAA8AAAAAAAAAAAAAAAAAmAIAAGRycy9kb3du&#10;cmV2LnhtbFBLBQYAAAAABAAEAPUAAACGAwAAAAA=&#10;" fillcolor="#ffbe86" strokecolor="windowText" strokeweight="1.5pt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14:paraId="173BF2C1" w14:textId="0FA307D1" w:rsidR="0057125F" w:rsidRDefault="00F165E1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1</w:t>
                        </w:r>
                        <w:r w:rsidR="0057125F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v:rect id="矩形 65" o:spid="_x0000_s1050" style="position:absolute;left:32272;top:5328;width:4881;height:18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K48EA&#10;AADcAAAADwAAAGRycy9kb3ducmV2LnhtbERPTWvCQBC9F/wPywi91Y1Ki6SuIorSY5v2oLdpdpqN&#10;zc6E7Krx33cFobd5vM+ZL3vfqDN1oRY2MB5loIhLsTVXBr4+t08zUCEiW2yEycCVAiwXg4c55lYu&#10;/EHnIlYqhXDI0YCLsc21DqUjj2EkLXHifqTzGBPsKm07vKRw3+hJlr1ojzWnBoctrR2Vv8XJGziu&#10;cX+017HozXsh3+IO+51+NuZx2K9eQUXq47/47n6zaf5kCrdn0gV6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hyuPBAAAA3AAAAA8AAAAAAAAAAAAAAAAAmAIAAGRycy9kb3du&#10;cmV2LnhtbFBLBQYAAAAABAAEAPUAAACGAwAAAAA=&#10;" fillcolor="#ffbe86" strokecolor="windowText" strokeweight="1.5pt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14:paraId="71DC9965" w14:textId="77777777" w:rsidR="0057125F" w:rsidRDefault="0057125F" w:rsidP="0057125F">
                        <w:pPr>
                          <w:pStyle w:val="Web"/>
                          <w:spacing w:before="0"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SSB</w:t>
                        </w:r>
                      </w:p>
                    </w:txbxContent>
                  </v:textbox>
                </v:rect>
                <w10:wrap type="square" anchorx="margin"/>
              </v:group>
            </w:pict>
          </mc:Fallback>
        </mc:AlternateContent>
      </w:r>
      <w:r w:rsidDel="0057125F">
        <w:rPr>
          <w:noProof/>
        </w:rPr>
        <w:t xml:space="preserve"> </w:t>
      </w:r>
      <w:r>
        <w:rPr>
          <w:rFonts w:ascii="Arial" w:hAnsi="Arial" w:cs="Arial"/>
          <w:b/>
        </w:rPr>
        <w:br/>
      </w:r>
    </w:p>
    <w:p w14:paraId="0E57DE35" w14:textId="77777777" w:rsidR="0057125F" w:rsidRDefault="0057125F" w:rsidP="0057125F">
      <w:pPr>
        <w:jc w:val="center"/>
        <w:rPr>
          <w:rFonts w:ascii="Arial" w:hAnsi="Arial" w:cs="Arial"/>
          <w:b/>
        </w:rPr>
      </w:pPr>
    </w:p>
    <w:p w14:paraId="5BF450B9" w14:textId="77777777" w:rsidR="0057125F" w:rsidRDefault="0057125F" w:rsidP="0057125F">
      <w:pPr>
        <w:jc w:val="center"/>
        <w:rPr>
          <w:rFonts w:ascii="Arial" w:hAnsi="Arial" w:cs="Arial"/>
          <w:b/>
        </w:rPr>
      </w:pPr>
    </w:p>
    <w:p w14:paraId="46C9AF42" w14:textId="77777777" w:rsidR="0057125F" w:rsidRDefault="0057125F" w:rsidP="0057125F">
      <w:pPr>
        <w:jc w:val="center"/>
        <w:rPr>
          <w:rFonts w:ascii="Arial" w:hAnsi="Arial" w:cs="Arial"/>
          <w:b/>
        </w:rPr>
      </w:pPr>
    </w:p>
    <w:p w14:paraId="42555FF4" w14:textId="77777777" w:rsidR="0057125F" w:rsidRDefault="0057125F" w:rsidP="0057125F">
      <w:pPr>
        <w:jc w:val="center"/>
        <w:rPr>
          <w:rFonts w:ascii="Arial" w:hAnsi="Arial" w:cs="Arial"/>
          <w:b/>
        </w:rPr>
      </w:pPr>
    </w:p>
    <w:p w14:paraId="604ED979" w14:textId="77777777" w:rsidR="0057125F" w:rsidRDefault="0057125F" w:rsidP="0057125F">
      <w:pPr>
        <w:jc w:val="center"/>
        <w:rPr>
          <w:rFonts w:ascii="Arial" w:hAnsi="Arial" w:cs="Arial"/>
          <w:b/>
        </w:rPr>
      </w:pPr>
    </w:p>
    <w:p w14:paraId="4BF9DBE3" w14:textId="77777777" w:rsidR="0057125F" w:rsidRPr="00782BB6" w:rsidRDefault="0057125F" w:rsidP="0057125F">
      <w:pPr>
        <w:jc w:val="center"/>
        <w:rPr>
          <w:rFonts w:ascii="Arial" w:hAnsi="Arial" w:cs="Arial"/>
        </w:rPr>
      </w:pPr>
      <w:r w:rsidRPr="00782BB6">
        <w:rPr>
          <w:rFonts w:ascii="Arial" w:hAnsi="Arial" w:cs="Arial"/>
          <w:b/>
        </w:rPr>
        <w:t>Figure 1: the 2 SMTC periodicities of intra-frequency layer in case 2.</w:t>
      </w:r>
    </w:p>
    <w:p w14:paraId="3A7B99EE" w14:textId="77777777" w:rsidR="0057125F" w:rsidRDefault="0057125F" w:rsidP="0057125F">
      <w:pPr>
        <w:pStyle w:val="af2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6EB707FE" w14:textId="180DBCED" w:rsidR="00E078E0" w:rsidRPr="0084007D" w:rsidRDefault="00E078E0" w:rsidP="00782BB6">
      <w:pPr>
        <w:pStyle w:val="af2"/>
        <w:rPr>
          <w:rFonts w:ascii="Arial" w:hAnsi="Arial" w:cs="Arial"/>
          <w:i/>
          <w:sz w:val="24"/>
          <w:szCs w:val="24"/>
        </w:rPr>
      </w:pPr>
      <w:bookmarkStart w:id="9" w:name="_Ref525664411"/>
      <w:r w:rsidRPr="0084007D">
        <w:rPr>
          <w:rFonts w:ascii="Arial" w:hAnsi="Arial" w:cs="Arial"/>
          <w:i/>
          <w:sz w:val="24"/>
          <w:szCs w:val="24"/>
        </w:rPr>
        <w:t xml:space="preserve">Proposal </w:t>
      </w:r>
      <w:r w:rsidRPr="0084007D">
        <w:rPr>
          <w:rFonts w:ascii="Arial" w:hAnsi="Arial" w:cs="Arial"/>
          <w:i/>
          <w:sz w:val="24"/>
          <w:szCs w:val="24"/>
        </w:rPr>
        <w:fldChar w:fldCharType="begin"/>
      </w:r>
      <w:r w:rsidRPr="0084007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84007D">
        <w:rPr>
          <w:rFonts w:ascii="Arial" w:hAnsi="Arial" w:cs="Arial"/>
          <w:i/>
          <w:sz w:val="24"/>
          <w:szCs w:val="24"/>
        </w:rPr>
        <w:fldChar w:fldCharType="separate"/>
      </w:r>
      <w:r w:rsidR="00961272" w:rsidRPr="0084007D">
        <w:rPr>
          <w:rFonts w:ascii="Arial" w:hAnsi="Arial" w:cs="Arial"/>
          <w:i/>
          <w:sz w:val="24"/>
          <w:szCs w:val="24"/>
        </w:rPr>
        <w:t>3</w:t>
      </w:r>
      <w:r w:rsidRPr="0084007D">
        <w:rPr>
          <w:rFonts w:ascii="Arial" w:hAnsi="Arial" w:cs="Arial"/>
          <w:i/>
          <w:sz w:val="24"/>
          <w:szCs w:val="24"/>
        </w:rPr>
        <w:fldChar w:fldCharType="end"/>
      </w:r>
      <w:r w:rsidRPr="0084007D">
        <w:rPr>
          <w:rFonts w:ascii="Arial" w:hAnsi="Arial" w:cs="Arial"/>
          <w:i/>
          <w:sz w:val="24"/>
          <w:szCs w:val="24"/>
        </w:rPr>
        <w:t>: Use scenario-based rule to specify the requirements of category B</w:t>
      </w:r>
      <w:r w:rsidR="000F6BBF" w:rsidRPr="0084007D">
        <w:rPr>
          <w:rFonts w:ascii="Arial" w:hAnsi="Arial" w:cs="Arial"/>
          <w:i/>
          <w:sz w:val="24"/>
          <w:szCs w:val="24"/>
        </w:rPr>
        <w:t>1</w:t>
      </w:r>
      <w:r w:rsidRPr="0084007D">
        <w:rPr>
          <w:rFonts w:ascii="Arial" w:hAnsi="Arial" w:cs="Arial"/>
          <w:i/>
          <w:sz w:val="24"/>
          <w:szCs w:val="24"/>
        </w:rPr>
        <w:t xml:space="preserve"> and guarantee that UE has sufficient opportunities to detect cells </w:t>
      </w:r>
      <w:r w:rsidR="000F6BBF" w:rsidRPr="0084007D">
        <w:rPr>
          <w:rFonts w:ascii="Arial" w:hAnsi="Arial" w:cs="Arial"/>
          <w:i/>
          <w:sz w:val="24"/>
          <w:szCs w:val="24"/>
        </w:rPr>
        <w:t xml:space="preserve">configured </w:t>
      </w:r>
      <w:r w:rsidRPr="0084007D">
        <w:rPr>
          <w:rFonts w:ascii="Arial" w:hAnsi="Arial" w:cs="Arial"/>
          <w:i/>
          <w:sz w:val="24"/>
          <w:szCs w:val="24"/>
        </w:rPr>
        <w:t>with both smtc1 and smtc2.</w:t>
      </w:r>
      <w:bookmarkEnd w:id="9"/>
      <w:r w:rsidRPr="0084007D">
        <w:rPr>
          <w:rFonts w:ascii="Arial" w:hAnsi="Arial" w:cs="Arial"/>
          <w:i/>
          <w:sz w:val="24"/>
          <w:szCs w:val="24"/>
        </w:rPr>
        <w:t xml:space="preserve"> </w:t>
      </w:r>
    </w:p>
    <w:p w14:paraId="347F4F93" w14:textId="2C304814" w:rsidR="00165BBD" w:rsidRDefault="00E078E0" w:rsidP="00165BBD">
      <w:pPr>
        <w:pStyle w:val="af7"/>
      </w:pPr>
      <w:r>
        <w:rPr>
          <w:rFonts w:ascii="Arial" w:hAnsi="Arial" w:cs="Arial"/>
        </w:rPr>
        <w:t xml:space="preserve"> </w:t>
      </w:r>
    </w:p>
    <w:p w14:paraId="131C899B" w14:textId="5FD0B1FC" w:rsidR="00165BBD" w:rsidRDefault="00961272" w:rsidP="00116C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TS38.331</w:t>
      </w:r>
      <w:r w:rsidR="00165BBD" w:rsidRPr="00782BB6">
        <w:rPr>
          <w:rFonts w:ascii="Arial" w:hAnsi="Arial" w:cs="Arial"/>
        </w:rPr>
        <w:t xml:space="preserve"> smtc1 is the longer periodicity</w:t>
      </w:r>
      <w:r w:rsidR="00165B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is associated with all cells not limited to the cell list</w:t>
      </w:r>
      <w:r w:rsidR="00165BBD">
        <w:rPr>
          <w:rFonts w:ascii="Arial" w:hAnsi="Arial" w:cs="Arial"/>
        </w:rPr>
        <w:t xml:space="preserve">, it is very important to guarantee that UE always has opportunities to measure cells </w:t>
      </w:r>
      <w:r w:rsidR="00165BBD" w:rsidRPr="000F6BBF">
        <w:rPr>
          <w:rFonts w:ascii="Arial" w:hAnsi="Arial" w:cs="Arial"/>
        </w:rPr>
        <w:t>configured</w:t>
      </w:r>
      <w:r w:rsidR="00165BBD" w:rsidRPr="000F6BBF" w:rsidDel="000F6BBF">
        <w:rPr>
          <w:rFonts w:ascii="Arial" w:hAnsi="Arial" w:cs="Arial"/>
        </w:rPr>
        <w:t xml:space="preserve"> </w:t>
      </w:r>
      <w:r w:rsidR="00165BBD">
        <w:rPr>
          <w:rFonts w:ascii="Arial" w:hAnsi="Arial" w:cs="Arial"/>
        </w:rPr>
        <w:t xml:space="preserve">with smtc1. Therefore, </w:t>
      </w:r>
      <w:r>
        <w:rPr>
          <w:rFonts w:ascii="Arial" w:hAnsi="Arial" w:cs="Arial"/>
        </w:rPr>
        <w:t xml:space="preserve">if RAN4 cannot reach consensus on proposal 3, </w:t>
      </w:r>
      <w:r w:rsidR="00165BBD">
        <w:rPr>
          <w:rFonts w:ascii="Arial" w:hAnsi="Arial" w:cs="Arial"/>
        </w:rPr>
        <w:t>we propose</w:t>
      </w:r>
      <w:r>
        <w:rPr>
          <w:rFonts w:ascii="Arial" w:hAnsi="Arial" w:cs="Arial"/>
        </w:rPr>
        <w:t xml:space="preserve"> that the measurement performance based on smtc1 should be first be guaranteed in Rel-15.</w:t>
      </w:r>
    </w:p>
    <w:p w14:paraId="10196A32" w14:textId="421C435F" w:rsidR="00165BBD" w:rsidRPr="0084007D" w:rsidRDefault="00961272" w:rsidP="00116CDB">
      <w:pPr>
        <w:pStyle w:val="af2"/>
        <w:rPr>
          <w:rFonts w:ascii="Arial" w:hAnsi="Arial" w:cs="Arial"/>
          <w:i/>
          <w:sz w:val="24"/>
          <w:szCs w:val="24"/>
          <w:lang w:eastAsia="zh-TW"/>
        </w:rPr>
      </w:pPr>
      <w:bookmarkStart w:id="10" w:name="_Ref525942130"/>
      <w:r w:rsidRPr="0084007D">
        <w:rPr>
          <w:rFonts w:ascii="Arial" w:hAnsi="Arial" w:cs="Arial"/>
          <w:i/>
          <w:sz w:val="24"/>
          <w:szCs w:val="24"/>
          <w:lang w:eastAsia="zh-TW"/>
        </w:rPr>
        <w:t xml:space="preserve">Proposal </w:t>
      </w:r>
      <w:r w:rsidRPr="0084007D">
        <w:rPr>
          <w:rFonts w:ascii="Arial" w:hAnsi="Arial" w:cs="Arial"/>
          <w:i/>
          <w:sz w:val="24"/>
          <w:szCs w:val="24"/>
          <w:lang w:eastAsia="zh-TW"/>
        </w:rPr>
        <w:fldChar w:fldCharType="begin"/>
      </w:r>
      <w:r w:rsidRPr="0084007D">
        <w:rPr>
          <w:rFonts w:ascii="Arial" w:hAnsi="Arial" w:cs="Arial"/>
          <w:i/>
          <w:sz w:val="24"/>
          <w:szCs w:val="24"/>
          <w:lang w:eastAsia="zh-TW"/>
        </w:rPr>
        <w:instrText xml:space="preserve"> SEQ Proposal \* ARABIC </w:instrText>
      </w:r>
      <w:r w:rsidRPr="0084007D">
        <w:rPr>
          <w:rFonts w:ascii="Arial" w:hAnsi="Arial" w:cs="Arial"/>
          <w:i/>
          <w:sz w:val="24"/>
          <w:szCs w:val="24"/>
          <w:lang w:eastAsia="zh-TW"/>
        </w:rPr>
        <w:fldChar w:fldCharType="separate"/>
      </w:r>
      <w:r w:rsidRPr="0084007D">
        <w:rPr>
          <w:rFonts w:ascii="Arial" w:hAnsi="Arial" w:cs="Arial"/>
          <w:i/>
          <w:sz w:val="24"/>
          <w:szCs w:val="24"/>
          <w:lang w:eastAsia="zh-TW"/>
        </w:rPr>
        <w:t>4</w:t>
      </w:r>
      <w:r w:rsidRPr="0084007D">
        <w:rPr>
          <w:rFonts w:ascii="Arial" w:hAnsi="Arial" w:cs="Arial"/>
          <w:i/>
          <w:sz w:val="24"/>
          <w:szCs w:val="24"/>
          <w:lang w:eastAsia="zh-TW"/>
        </w:rPr>
        <w:fldChar w:fldCharType="end"/>
      </w:r>
      <w:r w:rsidRPr="0084007D">
        <w:rPr>
          <w:rFonts w:ascii="Arial" w:hAnsi="Arial" w:cs="Arial"/>
          <w:i/>
          <w:sz w:val="24"/>
          <w:szCs w:val="24"/>
          <w:lang w:eastAsia="zh-TW"/>
        </w:rPr>
        <w:t xml:space="preserve">: </w:t>
      </w:r>
      <w:r w:rsidR="00116CDB">
        <w:rPr>
          <w:rFonts w:ascii="Arial" w:hAnsi="Arial" w:cs="Arial"/>
          <w:i/>
          <w:sz w:val="24"/>
          <w:szCs w:val="24"/>
        </w:rPr>
        <w:t xml:space="preserve">If </w:t>
      </w:r>
      <w:r w:rsidRPr="0084007D">
        <w:rPr>
          <w:rFonts w:ascii="Arial" w:hAnsi="Arial" w:cs="Arial"/>
          <w:i/>
          <w:sz w:val="24"/>
          <w:szCs w:val="24"/>
          <w:lang w:eastAsia="zh-TW"/>
        </w:rPr>
        <w:t>RAN4 cannot reach consensus on proposal 3, the measurement performance based on smtc1 should be first be guaranteed in Rel-15.</w:t>
      </w:r>
      <w:bookmarkEnd w:id="10"/>
    </w:p>
    <w:p w14:paraId="698CD9F1" w14:textId="19548738" w:rsidR="00E078E0" w:rsidRPr="00782BB6" w:rsidRDefault="00E078E0" w:rsidP="00116CDB">
      <w:pPr>
        <w:rPr>
          <w:rFonts w:ascii="Arial" w:hAnsi="Arial" w:cs="Arial"/>
        </w:rPr>
      </w:pPr>
    </w:p>
    <w:bookmarkEnd w:id="0"/>
    <w:bookmarkEnd w:id="1"/>
    <w:bookmarkEnd w:id="3"/>
    <w:bookmarkEnd w:id="4"/>
    <w:bookmarkEnd w:id="5"/>
    <w:bookmarkEnd w:id="6"/>
    <w:p w14:paraId="5E265F65" w14:textId="6632CBF7" w:rsidR="008E7481" w:rsidRPr="009F29FB" w:rsidRDefault="002B4F20" w:rsidP="008E7481">
      <w:pPr>
        <w:pStyle w:val="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79EB26AC" w14:textId="77777777" w:rsidR="00116CDB" w:rsidRDefault="00983202">
      <w:pPr>
        <w:pStyle w:val="TAL"/>
        <w:jc w:val="both"/>
        <w:rPr>
          <w:rFonts w:cs="Arial"/>
          <w:sz w:val="22"/>
        </w:rPr>
      </w:pPr>
      <w:r w:rsidRPr="00983202">
        <w:rPr>
          <w:rFonts w:cs="Arial"/>
          <w:sz w:val="22"/>
        </w:rPr>
        <w:t>In this contribution, we</w:t>
      </w:r>
      <w:r w:rsidR="00E078E0">
        <w:rPr>
          <w:rFonts w:cs="Arial"/>
          <w:sz w:val="22"/>
        </w:rPr>
        <w:t xml:space="preserve"> propose</w:t>
      </w:r>
    </w:p>
    <w:p w14:paraId="2C4E7C32" w14:textId="77777777" w:rsidR="00116CDB" w:rsidRDefault="00116CDB">
      <w:pPr>
        <w:pStyle w:val="TAL"/>
        <w:jc w:val="both"/>
        <w:rPr>
          <w:rFonts w:cs="Arial"/>
          <w:sz w:val="22"/>
        </w:rPr>
      </w:pPr>
      <w:r>
        <w:rPr>
          <w:rFonts w:cs="Arial"/>
          <w:sz w:val="22"/>
        </w:rPr>
        <w:fldChar w:fldCharType="begin"/>
      </w:r>
      <w:r>
        <w:instrText xml:space="preserve"> REF _Ref525942124 \h </w:instrText>
      </w:r>
      <w:r>
        <w:rPr>
          <w:rFonts w:cs="Arial"/>
          <w:sz w:val="22"/>
        </w:rPr>
      </w:r>
      <w:r>
        <w:rPr>
          <w:rFonts w:cs="Arial"/>
          <w:sz w:val="22"/>
        </w:rPr>
        <w:fldChar w:fldCharType="separate"/>
      </w:r>
      <w:r w:rsidRPr="0084007D">
        <w:rPr>
          <w:rFonts w:eastAsia="SimSun" w:cs="Arial"/>
          <w:b/>
          <w:i/>
          <w:sz w:val="24"/>
          <w:szCs w:val="24"/>
        </w:rPr>
        <w:t xml:space="preserve">Proposal </w:t>
      </w:r>
      <w:r w:rsidRPr="0084007D">
        <w:rPr>
          <w:rFonts w:eastAsia="SimSun" w:cs="Arial"/>
          <w:b/>
          <w:i/>
          <w:noProof/>
          <w:sz w:val="24"/>
          <w:szCs w:val="24"/>
        </w:rPr>
        <w:t>1</w:t>
      </w:r>
      <w:r w:rsidRPr="0084007D">
        <w:rPr>
          <w:rFonts w:eastAsia="SimSun" w:cs="Arial"/>
          <w:b/>
          <w:i/>
          <w:sz w:val="24"/>
          <w:szCs w:val="24"/>
        </w:rPr>
        <w:t xml:space="preserve">: For requirements not related to L3 mobility measurements, e.g., RLM, but impacted by the selection between 2 SMTC periodicities of intra-frequency measurement requirements, we assume smtc2 is always </w:t>
      </w:r>
      <w:r>
        <w:rPr>
          <w:rFonts w:cs="Arial"/>
          <w:i/>
          <w:sz w:val="24"/>
          <w:szCs w:val="24"/>
        </w:rPr>
        <w:t>used</w:t>
      </w:r>
      <w:r w:rsidRPr="0084007D">
        <w:rPr>
          <w:rFonts w:eastAsia="SimSun" w:cs="Arial"/>
          <w:b/>
          <w:i/>
          <w:sz w:val="24"/>
          <w:szCs w:val="24"/>
        </w:rPr>
        <w:t xml:space="preserve"> for those intra-frequency measurement requirements.</w:t>
      </w:r>
      <w:r>
        <w:rPr>
          <w:rFonts w:cs="Arial"/>
          <w:sz w:val="22"/>
        </w:rPr>
        <w:fldChar w:fldCharType="end"/>
      </w:r>
    </w:p>
    <w:p w14:paraId="3405BF0C" w14:textId="2EC6E3C7" w:rsidR="00116CDB" w:rsidRPr="0084007D" w:rsidRDefault="00116CDB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84007D">
        <w:rPr>
          <w:rFonts w:eastAsia="SimSun" w:cs="Arial"/>
          <w:b/>
          <w:i/>
          <w:sz w:val="24"/>
          <w:szCs w:val="24"/>
        </w:rPr>
        <w:fldChar w:fldCharType="begin"/>
      </w:r>
      <w:r w:rsidRPr="0084007D">
        <w:rPr>
          <w:rFonts w:eastAsia="SimSun" w:cs="Arial"/>
          <w:b/>
          <w:i/>
          <w:sz w:val="24"/>
          <w:szCs w:val="24"/>
        </w:rPr>
        <w:instrText xml:space="preserve"> REF _Ref525942127 \h </w:instrText>
      </w:r>
      <w:r>
        <w:rPr>
          <w:rFonts w:eastAsia="SimSun" w:cs="Arial"/>
          <w:b/>
          <w:i/>
          <w:sz w:val="24"/>
          <w:szCs w:val="24"/>
        </w:rPr>
        <w:instrText xml:space="preserve"> \* MERGEFORMAT </w:instrText>
      </w:r>
      <w:r w:rsidRPr="0084007D">
        <w:rPr>
          <w:rFonts w:eastAsia="SimSun" w:cs="Arial"/>
          <w:b/>
          <w:i/>
          <w:sz w:val="24"/>
          <w:szCs w:val="24"/>
        </w:rPr>
      </w:r>
      <w:r w:rsidRPr="0084007D">
        <w:rPr>
          <w:rFonts w:eastAsia="SimSun" w:cs="Arial"/>
          <w:b/>
          <w:i/>
          <w:sz w:val="24"/>
          <w:szCs w:val="24"/>
        </w:rPr>
        <w:fldChar w:fldCharType="separate"/>
      </w:r>
      <w:r w:rsidRPr="0084007D">
        <w:rPr>
          <w:rFonts w:eastAsia="SimSun" w:cs="Arial"/>
          <w:b/>
          <w:i/>
          <w:sz w:val="24"/>
          <w:szCs w:val="24"/>
        </w:rPr>
        <w:t>Proposal 2: For intra-frequency measurement requirements with 2 SMTC periodicities, the flexibility of UE to perform measurement based on either smtc1 or smtc2 should be allowed.</w:t>
      </w:r>
      <w:r w:rsidRPr="0084007D">
        <w:rPr>
          <w:rFonts w:eastAsia="SimSun" w:cs="Arial"/>
          <w:b/>
          <w:i/>
          <w:sz w:val="24"/>
          <w:szCs w:val="24"/>
        </w:rPr>
        <w:fldChar w:fldCharType="end"/>
      </w:r>
    </w:p>
    <w:p w14:paraId="324BE9D0" w14:textId="1F1D1FB0" w:rsidR="00116CDB" w:rsidRPr="0084007D" w:rsidRDefault="00116CDB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84007D">
        <w:rPr>
          <w:rFonts w:eastAsia="SimSun" w:cs="Arial"/>
          <w:b/>
          <w:i/>
          <w:sz w:val="24"/>
          <w:szCs w:val="24"/>
        </w:rPr>
        <w:fldChar w:fldCharType="begin"/>
      </w:r>
      <w:r w:rsidRPr="0084007D">
        <w:rPr>
          <w:rFonts w:eastAsia="SimSun" w:cs="Arial"/>
          <w:b/>
          <w:i/>
          <w:sz w:val="24"/>
          <w:szCs w:val="24"/>
        </w:rPr>
        <w:instrText xml:space="preserve"> REF _Ref525664411 \h </w:instrText>
      </w:r>
      <w:r>
        <w:rPr>
          <w:rFonts w:eastAsia="SimSun" w:cs="Arial"/>
          <w:b/>
          <w:i/>
          <w:sz w:val="24"/>
          <w:szCs w:val="24"/>
        </w:rPr>
        <w:instrText xml:space="preserve"> \* MERGEFORMAT </w:instrText>
      </w:r>
      <w:r w:rsidRPr="0084007D">
        <w:rPr>
          <w:rFonts w:eastAsia="SimSun" w:cs="Arial"/>
          <w:b/>
          <w:i/>
          <w:sz w:val="24"/>
          <w:szCs w:val="24"/>
        </w:rPr>
      </w:r>
      <w:r w:rsidRPr="0084007D">
        <w:rPr>
          <w:rFonts w:eastAsia="SimSun" w:cs="Arial"/>
          <w:b/>
          <w:i/>
          <w:sz w:val="24"/>
          <w:szCs w:val="24"/>
        </w:rPr>
        <w:fldChar w:fldCharType="separate"/>
      </w:r>
      <w:r w:rsidRPr="0084007D">
        <w:rPr>
          <w:rFonts w:eastAsia="SimSun" w:cs="Arial"/>
          <w:b/>
          <w:i/>
          <w:sz w:val="24"/>
          <w:szCs w:val="24"/>
        </w:rPr>
        <w:t>Proposal 3: Use scenario-based rule to specify the requirements of category B1 and guarantee that UE has sufficient opportunities to detect cells configured with both smtc1 and smtc2.</w:t>
      </w:r>
      <w:r w:rsidRPr="0084007D">
        <w:rPr>
          <w:rFonts w:eastAsia="SimSun" w:cs="Arial"/>
          <w:b/>
          <w:i/>
          <w:sz w:val="24"/>
          <w:szCs w:val="24"/>
        </w:rPr>
        <w:fldChar w:fldCharType="end"/>
      </w:r>
    </w:p>
    <w:p w14:paraId="17C01357" w14:textId="3B5566F9" w:rsidR="00983202" w:rsidRPr="0084007D" w:rsidRDefault="00116CDB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84007D">
        <w:rPr>
          <w:rFonts w:eastAsia="SimSun" w:cs="Arial"/>
          <w:b/>
          <w:i/>
          <w:sz w:val="24"/>
          <w:szCs w:val="24"/>
        </w:rPr>
        <w:fldChar w:fldCharType="begin"/>
      </w:r>
      <w:r w:rsidRPr="0084007D">
        <w:rPr>
          <w:rFonts w:eastAsia="SimSun" w:cs="Arial"/>
          <w:b/>
          <w:i/>
          <w:sz w:val="24"/>
          <w:szCs w:val="24"/>
        </w:rPr>
        <w:instrText xml:space="preserve"> REF _Ref525942130 \h </w:instrText>
      </w:r>
      <w:r>
        <w:rPr>
          <w:rFonts w:eastAsia="SimSun" w:cs="Arial"/>
          <w:b/>
          <w:i/>
          <w:sz w:val="24"/>
          <w:szCs w:val="24"/>
        </w:rPr>
        <w:instrText xml:space="preserve"> \* MERGEFORMAT </w:instrText>
      </w:r>
      <w:r w:rsidRPr="0084007D">
        <w:rPr>
          <w:rFonts w:eastAsia="SimSun" w:cs="Arial"/>
          <w:b/>
          <w:i/>
          <w:sz w:val="24"/>
          <w:szCs w:val="24"/>
        </w:rPr>
      </w:r>
      <w:r w:rsidRPr="0084007D">
        <w:rPr>
          <w:rFonts w:eastAsia="SimSun" w:cs="Arial"/>
          <w:b/>
          <w:i/>
          <w:sz w:val="24"/>
          <w:szCs w:val="24"/>
        </w:rPr>
        <w:fldChar w:fldCharType="separate"/>
      </w:r>
      <w:r w:rsidRPr="0084007D">
        <w:rPr>
          <w:rFonts w:eastAsia="SimSun" w:cs="Arial"/>
          <w:b/>
          <w:i/>
          <w:sz w:val="24"/>
          <w:szCs w:val="24"/>
          <w:lang w:eastAsia="zh-TW"/>
        </w:rPr>
        <w:t xml:space="preserve">Proposal 4: </w:t>
      </w:r>
      <w:r w:rsidRPr="0084007D">
        <w:rPr>
          <w:rFonts w:eastAsia="SimSun" w:cs="Arial"/>
          <w:b/>
          <w:i/>
          <w:sz w:val="24"/>
          <w:szCs w:val="24"/>
        </w:rPr>
        <w:t xml:space="preserve">If </w:t>
      </w:r>
      <w:r w:rsidRPr="0084007D">
        <w:rPr>
          <w:rFonts w:eastAsia="SimSun" w:cs="Arial"/>
          <w:b/>
          <w:i/>
          <w:sz w:val="24"/>
          <w:szCs w:val="24"/>
          <w:lang w:eastAsia="zh-TW"/>
        </w:rPr>
        <w:t>RAN4 cannot reach consensus on proposal 3, the measurement performance based on smtc1 should be first be guaranteed in Rel-15.</w:t>
      </w:r>
      <w:r w:rsidRPr="0084007D">
        <w:rPr>
          <w:rFonts w:eastAsia="SimSun" w:cs="Arial"/>
          <w:b/>
          <w:i/>
          <w:sz w:val="24"/>
          <w:szCs w:val="24"/>
        </w:rPr>
        <w:fldChar w:fldCharType="end"/>
      </w:r>
      <w:r w:rsidR="00983202" w:rsidRPr="0084007D">
        <w:rPr>
          <w:rFonts w:eastAsia="SimSun" w:cs="Arial"/>
          <w:b/>
          <w:i/>
          <w:sz w:val="24"/>
          <w:szCs w:val="24"/>
        </w:rPr>
        <w:fldChar w:fldCharType="begin"/>
      </w:r>
      <w:r w:rsidR="00983202" w:rsidRPr="0084007D">
        <w:rPr>
          <w:rFonts w:eastAsia="SimSun" w:cs="Arial"/>
          <w:b/>
          <w:i/>
          <w:sz w:val="24"/>
          <w:szCs w:val="24"/>
        </w:rPr>
        <w:instrText xml:space="preserve"> REF _Ref514663904 \h  \* MERGEFORMAT </w:instrText>
      </w:r>
      <w:r w:rsidR="00983202" w:rsidRPr="0084007D">
        <w:rPr>
          <w:rFonts w:eastAsia="SimSun" w:cs="Arial"/>
          <w:b/>
          <w:i/>
          <w:sz w:val="24"/>
          <w:szCs w:val="24"/>
        </w:rPr>
      </w:r>
      <w:r w:rsidR="00983202" w:rsidRPr="0084007D">
        <w:rPr>
          <w:rFonts w:eastAsia="SimSun" w:cs="Arial"/>
          <w:b/>
          <w:i/>
          <w:sz w:val="24"/>
          <w:szCs w:val="24"/>
        </w:rPr>
        <w:fldChar w:fldCharType="separate"/>
      </w:r>
      <w:r w:rsidRPr="0084007D">
        <w:rPr>
          <w:rFonts w:eastAsia="SimSun" w:cs="Arial"/>
          <w:b/>
          <w:i/>
          <w:sz w:val="24"/>
          <w:szCs w:val="24"/>
        </w:rPr>
        <w:t>Error! Reference source not found.</w:t>
      </w:r>
      <w:r w:rsidR="00983202" w:rsidRPr="0084007D">
        <w:rPr>
          <w:rFonts w:eastAsia="SimSun" w:cs="Arial"/>
          <w:b/>
          <w:i/>
          <w:sz w:val="24"/>
          <w:szCs w:val="24"/>
        </w:rPr>
        <w:fldChar w:fldCharType="end"/>
      </w:r>
    </w:p>
    <w:p w14:paraId="171151A8" w14:textId="45C7B0CD" w:rsidR="00A106BA" w:rsidRPr="009F29FB" w:rsidRDefault="002B4F20" w:rsidP="008E7481">
      <w:pPr>
        <w:pStyle w:val="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4D928CED" w14:textId="47B34CF0" w:rsidR="00871199" w:rsidRDefault="006055B5" w:rsidP="00871199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 xml:space="preserve">[1] </w:t>
      </w:r>
      <w:r w:rsidR="00415949" w:rsidRPr="00415949">
        <w:rPr>
          <w:rFonts w:ascii="Arial" w:hAnsi="Arial" w:cs="Arial"/>
        </w:rPr>
        <w:t>R4-1811688</w:t>
      </w:r>
      <w:r w:rsidRPr="006055B5">
        <w:rPr>
          <w:rFonts w:ascii="Arial" w:hAnsi="Arial" w:cs="Arial"/>
        </w:rPr>
        <w:t xml:space="preserve">, </w:t>
      </w:r>
      <w:r w:rsidR="00415949" w:rsidRPr="00415949">
        <w:rPr>
          <w:rFonts w:ascii="Arial" w:hAnsi="Arial" w:cs="Arial"/>
        </w:rPr>
        <w:t>Wayforward on dual SMTC periodicities</w:t>
      </w:r>
      <w:r w:rsidRPr="006055B5">
        <w:rPr>
          <w:rFonts w:ascii="Arial" w:hAnsi="Arial" w:cs="Arial"/>
        </w:rPr>
        <w:t xml:space="preserve">, </w:t>
      </w:r>
      <w:r w:rsidR="00415949">
        <w:rPr>
          <w:rFonts w:ascii="Arial" w:hAnsi="Arial" w:cs="Arial"/>
        </w:rPr>
        <w:t>Mediatek,</w:t>
      </w:r>
      <w:r w:rsidRPr="006055B5">
        <w:rPr>
          <w:rFonts w:ascii="Arial" w:hAnsi="Arial" w:cs="Arial"/>
        </w:rPr>
        <w:t xml:space="preserve"> </w:t>
      </w:r>
      <w:r w:rsidR="00415949">
        <w:rPr>
          <w:rFonts w:ascii="Arial" w:hAnsi="Arial" w:cs="Arial"/>
        </w:rPr>
        <w:t>Aug.,</w:t>
      </w:r>
      <w:r w:rsidRPr="006055B5">
        <w:rPr>
          <w:rFonts w:ascii="Arial" w:hAnsi="Arial" w:cs="Arial"/>
        </w:rPr>
        <w:t xml:space="preserve"> 2018.</w:t>
      </w:r>
    </w:p>
    <w:p w14:paraId="36912C90" w14:textId="38A4E5E0" w:rsidR="00415949" w:rsidRPr="00901382" w:rsidRDefault="00415949" w:rsidP="00415949">
      <w:pPr>
        <w:pStyle w:val="1"/>
        <w:jc w:val="both"/>
        <w:rPr>
          <w:rFonts w:eastAsia="新細明體" w:cs="Arial"/>
          <w:color w:val="000000" w:themeColor="text1"/>
          <w:lang w:eastAsia="zh-TW"/>
        </w:rPr>
      </w:pPr>
      <w:r w:rsidRPr="00901382">
        <w:rPr>
          <w:rFonts w:eastAsia="新細明體" w:cs="Arial"/>
          <w:color w:val="000000" w:themeColor="text1"/>
          <w:lang w:eastAsia="zh-TW"/>
        </w:rPr>
        <w:t>5</w:t>
      </w:r>
      <w:r w:rsidRPr="00901382">
        <w:rPr>
          <w:rFonts w:eastAsia="新細明體" w:cs="Arial"/>
          <w:color w:val="000000" w:themeColor="text1"/>
          <w:lang w:eastAsia="zh-TW"/>
        </w:rPr>
        <w:tab/>
        <w:t xml:space="preserve">Appendix A </w:t>
      </w:r>
    </w:p>
    <w:p w14:paraId="5AEC8A4B" w14:textId="449B7CB0" w:rsidR="00415949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choice of SMTC periodicity should depends on whether it is overlapped with MG or not. We then list all possible combinations as follows:</w:t>
      </w:r>
    </w:p>
    <w:p w14:paraId="3F8244C6" w14:textId="77777777" w:rsidR="00415949" w:rsidRPr="002B4073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(1a1b) and smtc2(1a1b)</w:t>
      </w:r>
      <w:r>
        <w:rPr>
          <w:rFonts w:ascii="Arial" w:hAnsi="Arial" w:cs="Arial"/>
        </w:rPr>
        <w:t>:</w:t>
      </w:r>
    </w:p>
    <w:p w14:paraId="03953E7E" w14:textId="77777777" w:rsidR="00415949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7F3D87CB" wp14:editId="768F7BD1">
            <wp:extent cx="4946073" cy="1092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511" cy="1099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8B2418" w14:textId="77777777" w:rsidR="00415949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(1a1b) and smtc2(2a2b)</w:t>
      </w:r>
      <w:r>
        <w:rPr>
          <w:rFonts w:ascii="Arial" w:hAnsi="Arial" w:cs="Arial"/>
        </w:rPr>
        <w:t>:</w:t>
      </w:r>
    </w:p>
    <w:p w14:paraId="67F468A9" w14:textId="77777777" w:rsidR="00415949" w:rsidRPr="002B4073" w:rsidRDefault="00415949" w:rsidP="00415949">
      <w:pPr>
        <w:ind w:left="472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98DF164" wp14:editId="55727BBE">
            <wp:extent cx="4981777" cy="107471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456" cy="1086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600139" w14:textId="77777777" w:rsidR="00415949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(1a1b) and smtc2(3a3b)</w:t>
      </w:r>
      <w:r>
        <w:rPr>
          <w:rFonts w:ascii="Arial" w:hAnsi="Arial" w:cs="Arial"/>
        </w:rPr>
        <w:t>:</w:t>
      </w:r>
    </w:p>
    <w:p w14:paraId="4C1BBBC7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020FCD" wp14:editId="7E24F4E6">
                <wp:simplePos x="0" y="0"/>
                <wp:positionH relativeFrom="column">
                  <wp:posOffset>960120</wp:posOffset>
                </wp:positionH>
                <wp:positionV relativeFrom="paragraph">
                  <wp:posOffset>-10638</wp:posOffset>
                </wp:positionV>
                <wp:extent cx="3823855" cy="1056879"/>
                <wp:effectExtent l="0" t="0" r="0" b="0"/>
                <wp:wrapNone/>
                <wp:docPr id="1" name="Multipl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85E82" id="Multiply 1" o:spid="_x0000_s1026" style="position:absolute;margin-left:75.6pt;margin-top:-.85pt;width:301.1pt;height:83.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6AD41C0E" wp14:editId="6645328E">
            <wp:extent cx="4904509" cy="10902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231" cy="109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F937D" w14:textId="77777777" w:rsidR="00415949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B159D1" wp14:editId="39CF4D71">
                <wp:simplePos x="0" y="0"/>
                <wp:positionH relativeFrom="column">
                  <wp:posOffset>938151</wp:posOffset>
                </wp:positionH>
                <wp:positionV relativeFrom="paragraph">
                  <wp:posOffset>318292</wp:posOffset>
                </wp:positionV>
                <wp:extent cx="3823855" cy="1056879"/>
                <wp:effectExtent l="0" t="0" r="0" b="0"/>
                <wp:wrapNone/>
                <wp:docPr id="2" name="Multipl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6E2E4" id="Multiply 2" o:spid="_x0000_s1026" style="position:absolute;margin-left:73.85pt;margin-top:25.05pt;width:301.1pt;height:83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(2a2b) and smtc2(1a1b)</w:t>
      </w:r>
      <w:r>
        <w:rPr>
          <w:rFonts w:ascii="Arial" w:hAnsi="Arial" w:cs="Arial"/>
        </w:rPr>
        <w:t>:</w:t>
      </w:r>
    </w:p>
    <w:p w14:paraId="0DCA0638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60DAA976" wp14:editId="3FA403A9">
            <wp:extent cx="4886193" cy="11264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326" cy="1142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D43B9" w14:textId="77777777" w:rsidR="00415949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(2a2b) and smtc2(2a2b)</w:t>
      </w:r>
      <w:r>
        <w:rPr>
          <w:rFonts w:ascii="Arial" w:hAnsi="Arial" w:cs="Arial"/>
        </w:rPr>
        <w:t>:</w:t>
      </w:r>
    </w:p>
    <w:p w14:paraId="06FBDE96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122D4489" wp14:editId="6DAB02F3">
            <wp:extent cx="5628904" cy="11074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08" cy="1108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96D3D2" w14:textId="77777777" w:rsidR="00415949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9D138B" wp14:editId="2903B183">
                <wp:simplePos x="0" y="0"/>
                <wp:positionH relativeFrom="column">
                  <wp:posOffset>1045029</wp:posOffset>
                </wp:positionH>
                <wp:positionV relativeFrom="paragraph">
                  <wp:posOffset>297270</wp:posOffset>
                </wp:positionV>
                <wp:extent cx="3823855" cy="1056879"/>
                <wp:effectExtent l="0" t="0" r="0" b="0"/>
                <wp:wrapNone/>
                <wp:docPr id="3" name="Multipl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F0C3C" id="Multiply 3" o:spid="_x0000_s1026" style="position:absolute;margin-left:82.3pt;margin-top:23.4pt;width:301.1pt;height:83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t>s</w:t>
      </w:r>
      <w:r w:rsidRPr="00AC6A05">
        <w:rPr>
          <w:rFonts w:ascii="Arial" w:hAnsi="Arial" w:cs="Arial"/>
        </w:rPr>
        <w:t>mtc1 (2a2b) and smtc2(3a3b)</w:t>
      </w:r>
      <w:r>
        <w:rPr>
          <w:rFonts w:ascii="Arial" w:hAnsi="Arial" w:cs="Arial"/>
        </w:rPr>
        <w:t>:</w:t>
      </w:r>
    </w:p>
    <w:p w14:paraId="4048E306" w14:textId="77777777" w:rsidR="00415949" w:rsidRPr="002B4073" w:rsidRDefault="00415949" w:rsidP="00415949">
      <w:pPr>
        <w:ind w:left="472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DBDA54A" wp14:editId="3F7AD249">
            <wp:extent cx="5634841" cy="1026795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215" cy="1043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A3ED0" w14:textId="77777777" w:rsidR="00415949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(3a3b) and smtc2(1a1b)</w:t>
      </w:r>
      <w:r>
        <w:rPr>
          <w:rFonts w:ascii="Arial" w:hAnsi="Arial" w:cs="Arial" w:hint="eastAsia"/>
        </w:rPr>
        <w:t>:</w:t>
      </w:r>
    </w:p>
    <w:p w14:paraId="20887F0A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E22285" wp14:editId="2F5326A7">
                <wp:simplePos x="0" y="0"/>
                <wp:positionH relativeFrom="column">
                  <wp:posOffset>1074717</wp:posOffset>
                </wp:positionH>
                <wp:positionV relativeFrom="paragraph">
                  <wp:posOffset>39007</wp:posOffset>
                </wp:positionV>
                <wp:extent cx="3823855" cy="1056879"/>
                <wp:effectExtent l="0" t="0" r="0" b="0"/>
                <wp:wrapNone/>
                <wp:docPr id="4" name="Multipl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BB12E" id="Multiply 4" o:spid="_x0000_s1026" style="position:absolute;margin-left:84.6pt;margin-top:3.05pt;width:301.1pt;height:83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rPr>
          <w:rFonts w:ascii="Arial" w:hAnsi="Arial" w:cs="Arial" w:hint="eastAsia"/>
        </w:rPr>
        <w:t xml:space="preserve">    </w:t>
      </w:r>
      <w:r>
        <w:rPr>
          <w:noProof/>
        </w:rPr>
        <w:drawing>
          <wp:inline distT="0" distB="0" distL="0" distR="0" wp14:anchorId="23FEA272" wp14:editId="7AAAB7B7">
            <wp:extent cx="4984829" cy="10203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724" cy="1040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7E756E" w14:textId="77777777" w:rsidR="00415949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AC6A05">
        <w:rPr>
          <w:rFonts w:ascii="Arial" w:hAnsi="Arial" w:cs="Arial"/>
        </w:rPr>
        <w:t>mtc1 (3a3b) and smtc2(2a2b)</w:t>
      </w:r>
      <w:r>
        <w:rPr>
          <w:rFonts w:ascii="Arial" w:hAnsi="Arial" w:cs="Arial"/>
        </w:rPr>
        <w:t>:</w:t>
      </w:r>
    </w:p>
    <w:p w14:paraId="216BCBCA" w14:textId="77777777" w:rsidR="00415949" w:rsidRPr="002B4073" w:rsidRDefault="00415949" w:rsidP="00415949">
      <w:pPr>
        <w:ind w:left="472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256F28D" wp14:editId="5CA3C358">
            <wp:extent cx="4946073" cy="10953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615" cy="112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75BB28" w14:textId="77777777" w:rsidR="00415949" w:rsidRPr="002B4073" w:rsidRDefault="00415949" w:rsidP="00415949">
      <w:pPr>
        <w:pStyle w:val="af7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(3a3b) and smtc2(3a3b)</w:t>
      </w:r>
      <w:r>
        <w:rPr>
          <w:rFonts w:ascii="Arial" w:hAnsi="Arial" w:cs="Arial"/>
        </w:rPr>
        <w:t>:</w:t>
      </w:r>
    </w:p>
    <w:p w14:paraId="2299BEE8" w14:textId="77777777" w:rsidR="00415949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1189E2AF" wp14:editId="71CA13A3">
            <wp:extent cx="5605154" cy="110799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775" cy="1127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F05B53" w14:textId="77777777" w:rsidR="00415949" w:rsidRPr="00782BB6" w:rsidRDefault="00415949" w:rsidP="00782BB6"/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98F00" w14:textId="77777777" w:rsidR="00242FB9" w:rsidRDefault="00242FB9">
      <w:r>
        <w:separator/>
      </w:r>
    </w:p>
  </w:endnote>
  <w:endnote w:type="continuationSeparator" w:id="0">
    <w:p w14:paraId="4EB28733" w14:textId="77777777" w:rsidR="00242FB9" w:rsidRDefault="0024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AAB73" w14:textId="77777777" w:rsidR="00242FB9" w:rsidRDefault="00242FB9">
      <w:r>
        <w:separator/>
      </w:r>
    </w:p>
  </w:footnote>
  <w:footnote w:type="continuationSeparator" w:id="0">
    <w:p w14:paraId="7EC922B2" w14:textId="77777777" w:rsidR="00242FB9" w:rsidRDefault="0024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0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4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4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1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44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306191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5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2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3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61"/>
  </w:num>
  <w:num w:numId="3">
    <w:abstractNumId w:val="25"/>
  </w:num>
  <w:num w:numId="4">
    <w:abstractNumId w:val="21"/>
  </w:num>
  <w:num w:numId="5">
    <w:abstractNumId w:val="60"/>
  </w:num>
  <w:num w:numId="6">
    <w:abstractNumId w:val="44"/>
  </w:num>
  <w:num w:numId="7">
    <w:abstractNumId w:val="66"/>
  </w:num>
  <w:num w:numId="8">
    <w:abstractNumId w:val="20"/>
  </w:num>
  <w:num w:numId="9">
    <w:abstractNumId w:val="30"/>
  </w:num>
  <w:num w:numId="10">
    <w:abstractNumId w:val="23"/>
  </w:num>
  <w:num w:numId="11">
    <w:abstractNumId w:val="62"/>
  </w:num>
  <w:num w:numId="12">
    <w:abstractNumId w:val="16"/>
  </w:num>
  <w:num w:numId="13">
    <w:abstractNumId w:val="9"/>
  </w:num>
  <w:num w:numId="14">
    <w:abstractNumId w:val="26"/>
  </w:num>
  <w:num w:numId="15">
    <w:abstractNumId w:val="51"/>
  </w:num>
  <w:num w:numId="16">
    <w:abstractNumId w:val="36"/>
  </w:num>
  <w:num w:numId="17">
    <w:abstractNumId w:val="43"/>
  </w:num>
  <w:num w:numId="18">
    <w:abstractNumId w:val="3"/>
  </w:num>
  <w:num w:numId="19">
    <w:abstractNumId w:val="1"/>
  </w:num>
  <w:num w:numId="20">
    <w:abstractNumId w:val="12"/>
  </w:num>
  <w:num w:numId="21">
    <w:abstractNumId w:val="22"/>
  </w:num>
  <w:num w:numId="22">
    <w:abstractNumId w:val="17"/>
  </w:num>
  <w:num w:numId="23">
    <w:abstractNumId w:val="40"/>
  </w:num>
  <w:num w:numId="24">
    <w:abstractNumId w:val="39"/>
  </w:num>
  <w:num w:numId="25">
    <w:abstractNumId w:val="15"/>
  </w:num>
  <w:num w:numId="26">
    <w:abstractNumId w:val="41"/>
  </w:num>
  <w:num w:numId="27">
    <w:abstractNumId w:val="45"/>
  </w:num>
  <w:num w:numId="28">
    <w:abstractNumId w:val="47"/>
  </w:num>
  <w:num w:numId="29">
    <w:abstractNumId w:val="8"/>
  </w:num>
  <w:num w:numId="30">
    <w:abstractNumId w:val="29"/>
  </w:num>
  <w:num w:numId="31">
    <w:abstractNumId w:val="42"/>
  </w:num>
  <w:num w:numId="32">
    <w:abstractNumId w:val="11"/>
  </w:num>
  <w:num w:numId="33">
    <w:abstractNumId w:val="38"/>
  </w:num>
  <w:num w:numId="34">
    <w:abstractNumId w:val="27"/>
  </w:num>
  <w:num w:numId="35">
    <w:abstractNumId w:val="34"/>
  </w:num>
  <w:num w:numId="36">
    <w:abstractNumId w:val="32"/>
  </w:num>
  <w:num w:numId="37">
    <w:abstractNumId w:val="2"/>
  </w:num>
  <w:num w:numId="38">
    <w:abstractNumId w:val="46"/>
  </w:num>
  <w:num w:numId="39">
    <w:abstractNumId w:val="19"/>
  </w:num>
  <w:num w:numId="40">
    <w:abstractNumId w:val="7"/>
  </w:num>
  <w:num w:numId="41">
    <w:abstractNumId w:val="33"/>
  </w:num>
  <w:num w:numId="42">
    <w:abstractNumId w:val="31"/>
  </w:num>
  <w:num w:numId="43">
    <w:abstractNumId w:val="28"/>
  </w:num>
  <w:num w:numId="44">
    <w:abstractNumId w:val="55"/>
  </w:num>
  <w:num w:numId="45">
    <w:abstractNumId w:val="14"/>
  </w:num>
  <w:num w:numId="46">
    <w:abstractNumId w:val="24"/>
  </w:num>
  <w:num w:numId="47">
    <w:abstractNumId w:val="58"/>
  </w:num>
  <w:num w:numId="48">
    <w:abstractNumId w:val="64"/>
  </w:num>
  <w:num w:numId="49">
    <w:abstractNumId w:val="59"/>
  </w:num>
  <w:num w:numId="50">
    <w:abstractNumId w:val="52"/>
  </w:num>
  <w:num w:numId="51">
    <w:abstractNumId w:val="13"/>
  </w:num>
  <w:num w:numId="52">
    <w:abstractNumId w:val="63"/>
  </w:num>
  <w:num w:numId="53">
    <w:abstractNumId w:val="6"/>
  </w:num>
  <w:num w:numId="54">
    <w:abstractNumId w:val="56"/>
  </w:num>
  <w:num w:numId="55">
    <w:abstractNumId w:val="50"/>
  </w:num>
  <w:num w:numId="56">
    <w:abstractNumId w:val="53"/>
  </w:num>
  <w:num w:numId="57">
    <w:abstractNumId w:val="4"/>
  </w:num>
  <w:num w:numId="58">
    <w:abstractNumId w:val="35"/>
  </w:num>
  <w:num w:numId="59">
    <w:abstractNumId w:val="18"/>
  </w:num>
  <w:num w:numId="60">
    <w:abstractNumId w:val="57"/>
  </w:num>
  <w:num w:numId="61">
    <w:abstractNumId w:val="54"/>
  </w:num>
  <w:num w:numId="62">
    <w:abstractNumId w:val="65"/>
  </w:num>
  <w:num w:numId="63">
    <w:abstractNumId w:val="10"/>
  </w:num>
  <w:num w:numId="64">
    <w:abstractNumId w:val="48"/>
  </w:num>
  <w:num w:numId="65">
    <w:abstractNumId w:val="5"/>
  </w:num>
  <w:num w:numId="66">
    <w:abstractNumId w:val="37"/>
  </w:num>
  <w:num w:numId="67">
    <w:abstractNumId w:val="4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97F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07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84007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4007D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uiPriority w:val="35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题注 字元"/>
    <w:link w:val="af2"/>
    <w:uiPriority w:val="35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9B0B5-CCA9-4050-811C-5DE321E8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2018-09-28T11:33:00Z</dcterms:created>
  <dcterms:modified xsi:type="dcterms:W3CDTF">2018-09-28T18:16:00Z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